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https://www.cnmc.es/expedientes/c164025</w:t>
      </w:r>
    </w:p>
    <w:p>
      <w:r>
        <w:t>Pages translated : 1</w:t>
      </w:r>
    </w:p>
    <w:p/>
    <w:p>
      <w:r>
        <w:rPr>
          <w:b/>
        </w:rPr>
        <w:t>[Pages 1–1]</w:t>
      </w:r>
    </w:p>
    <w:p>
      <w:r>
        <w:t xml:space="preserve">C/164025  </w:t>
        <w:br/>
        <w:t xml:space="preserve">BILLIONS EUROPE/ASSETS OF VENATOR MATERIALS UK LIMITED  </w:t>
        <w:br/>
        <w:t xml:space="preserve">RESOLUTION  </w:t>
        <w:br/>
        <w:t xml:space="preserve">FILE BILLIONS EUROPE / ASSETS OF VENATOR MATERIALS UK LIMITED  </w:t>
        <w:br/>
        <w:t xml:space="preserve">(C/1640/25)  </w:t>
        <w:br/>
        <w:t>COUNCIL. COMPETITION CHAMBER</w:t>
      </w:r>
    </w:p>
    <w:p>
      <w:r>
        <w:t xml:space="preserve">President  </w:t>
        <w:br/>
        <w:t>Ms. Cani Fernández Vicién</w:t>
      </w:r>
    </w:p>
    <w:p>
      <w:r>
        <w:t xml:space="preserve">Council Members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January 14, 2026</w:t>
      </w:r>
    </w:p>
    <w:p>
      <w:r>
        <w:t>The Competition Chamber has analyzed the concentration file processed in accordance with Law 15/2007, of July 3, on the Defense of Competition, regarding the economic concentration operation consisting of the acquisition by the company Billions Europe Ltd (Billions Europe), a British subsidiary of the Chinese LB Group Co., Limited (LB) of various assets related to the business of manufacturing and marketing titanium dioxide owned by the company Venator Materials UK Ltd (Venator UK). According to the report and proposal submitted by the Competition Directorate, the Competition Chamber has resolved, in application of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