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https://www.cnmc.es/expedientes/c164125</w:t>
      </w:r>
    </w:p>
    <w:p>
      <w:r>
        <w:t>Pages translated : 2</w:t>
      </w:r>
    </w:p>
    <w:p/>
    <w:p>
      <w:r>
        <w:rPr>
          <w:b/>
        </w:rPr>
        <w:t>[Pages 1–2]</w:t>
      </w:r>
    </w:p>
    <w:p>
      <w:r>
        <w:t xml:space="preserve">C/1641/25  </w:t>
        <w:br/>
        <w:t xml:space="preserve">BASSAC / FINANCIÈRE RAMSÈS I  </w:t>
        <w:br/>
        <w:t xml:space="preserve">RESOLUTION  </w:t>
        <w:br/>
        <w:t xml:space="preserve">FILE BASSAC / FINANCIÈRE RAMSÈS I  </w:t>
        <w:br/>
        <w:t xml:space="preserve">(C/1641/25)  </w:t>
        <w:br/>
        <w:t>COUNCIL. COMPETITION CHAMBER</w:t>
      </w:r>
    </w:p>
    <w:p>
      <w:r>
        <w:t xml:space="preserve">President  </w:t>
        <w:br/>
        <w:t>Ms. Cani Fernández Vicién</w:t>
      </w:r>
    </w:p>
    <w:p>
      <w:r>
        <w:t xml:space="preserve">Counselors  </w:t>
        <w:br/>
        <w:t xml:space="preserve">Mr. Rafael Iturriaga Nieva  </w:t>
        <w:br/>
        <w:t xml:space="preserve">Mr. Pere Soler Campins  </w:t>
        <w:br/>
        <w:t>Ms. María Vidales Picazo</w:t>
      </w:r>
    </w:p>
    <w:p>
      <w:r>
        <w:t xml:space="preserve">Secretary of the Council  </w:t>
        <w:br/>
        <w:t>Mr. Miguel Bordiu Garcia-Ovies</w:t>
      </w:r>
    </w:p>
    <w:p>
      <w:r>
        <w:t>In Madrid, on February 18, 2026</w:t>
      </w:r>
    </w:p>
    <w:p>
      <w:r>
        <w:t>The Competition Chamber has analyzed the concentration file processed in accordance with Law 15/2007, of July 3, on the Defense of Competition, regarding the economic concentration operation consisting of the acquisition by Bassac SA (BASSAC), ultimately controlled by Magellan SAS (MAGELLAN), of exclusive control over Financière Ramsès I SAS (FINANCIÈRE RAMSÈS I). In accordance with the report and proposal submitted by the Directorate of Competition, the Competition Chamber has resolved, under Article 57.2.a) of the aforementioned Law 15/2007, of July 3, to authorize the said concentration operation.</w:t>
      </w:r>
    </w:p>
    <w:p>
      <w:r>
        <w:t>Likewise, in accordance with the principle of self-assessment, as set forth in recital 21 of Council Regulation 139/2004, of January 20, 2004, on the control of concentrations between undertakings and as established in the Commission Communication on restrictions directly linked to the implementation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w:t>
      </w:r>
    </w:p>
    <w:p>
      <w:r>
        <w:t xml:space="preserve">National Commission of Markets and Competition 1 of 2  </w:t>
        <w:br/>
        <w:t xml:space="preserve">C/ Alcalá, 47 – 28014 Madrid - C/ Bolivia, 56 – 08018 Barcelona  </w:t>
        <w:br/>
        <w:t>www.cnmc.es</w:t>
      </w:r>
    </w:p>
    <w:p>
      <w:r>
        <w:t xml:space="preserve">C/1641/25  </w:t>
        <w:br/>
        <w:t xml:space="preserve">BASSAC / FINANCIÈRE RAMSÈS I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