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https://www.cnmc.es/expedientes/c164225</w:t>
      </w:r>
    </w:p>
    <w:p>
      <w:r>
        <w:t>Pages translated : 2</w:t>
      </w:r>
    </w:p>
    <w:p/>
    <w:p>
      <w:r>
        <w:rPr>
          <w:b/>
        </w:rPr>
        <w:t>[Pages 1–2]</w:t>
      </w:r>
    </w:p>
    <w:p>
      <w:r>
        <w:t xml:space="preserve">C/1642/25  </w:t>
        <w:br/>
        <w:t xml:space="preserve">GREYSTAR/LIFE STAY CARTUJA  </w:t>
        <w:br/>
        <w:t xml:space="preserve">RESOLUTION  </w:t>
        <w:br/>
        <w:t xml:space="preserve">FILE GREYSTAR/LIFE STAY CARTUJA  </w:t>
        <w:br/>
        <w:t xml:space="preserve">(C/1642/25)  </w:t>
        <w:br/>
        <w:t>COUNCIL. COMPETITION CHAMBER</w:t>
      </w:r>
    </w:p>
    <w:p>
      <w:r>
        <w:t xml:space="preserve">President  </w:t>
        <w:br/>
        <w:t>Ms. Cani Fernández Vicién</w:t>
      </w:r>
    </w:p>
    <w:p>
      <w:r>
        <w:t xml:space="preserve">Council Members  </w:t>
        <w:br/>
        <w:t xml:space="preserve">Mr. Rafael Iturriaga Nieva  </w:t>
        <w:br/>
        <w:t xml:space="preserve">Mr. Pere Soler Campins  </w:t>
        <w:br/>
        <w:t>Ms. María Vidales Picazo</w:t>
      </w:r>
    </w:p>
    <w:p>
      <w:r>
        <w:t xml:space="preserve">Secretary of the Council  </w:t>
        <w:br/>
        <w:t>Mr. Miguel Bordiu García-Ovies</w:t>
      </w:r>
    </w:p>
    <w:p>
      <w:r>
        <w:t>In Madrid, on May 4, 2026</w:t>
      </w:r>
    </w:p>
    <w:p>
      <w:r>
        <w:t>On March 27, 2026, the Competition Chamber agreed to initiate the second phase of the procedure, in accordance with Article 57.2.c) of Law 15/2007, of July 3, on the Defense of Competition (LDC), considering that the aforementioned operation could hinder the maintenance of effective competition in all or some of the analyzed markets, and that the proposed commitments presented were insufficient to eliminate the identified risks.</w:t>
      </w:r>
    </w:p>
    <w:p>
      <w:r>
        <w:t>In application of Article 58.1 of the LDC, the Competition Directorate prepared a brief note on the concentration which, on April 11, 2026, was made public on the CNMC website and communicated to the notifying party, the Consumers and Users Council, and third-party operators, so that they could submit their allegations within a period of 10 days. On April 28, 2026, a written submission of allegations was received from the Consumers and Users Council.</w:t>
      </w:r>
    </w:p>
    <w:p>
      <w:r>
        <w:t>According to the provisions of Article 58.1 of the LDC and Article 65.3 of the Competition Defense Regulation, approved by Royal Decree 261/2008, of February 22 (RDC), on April 15, 2026, the Andalusian Competition Defense Agency was requested to issue, within a period of twenty working days, the mandatory, non-binding report on the aforementioned concentration operation.</w:t>
      </w:r>
    </w:p>
    <w:p>
      <w:r>
        <w:t>By virtue of Articles 39.1 and 55.5 of the LDC, on April 27, 2026, the notifying party was requested to provide the necessary information for the proper assessment of the concentration.</w:t>
      </w:r>
    </w:p>
    <w:p>
      <w:r>
        <w:t>On April 29, 2026, the notifying party submitted a written request asking to be considered as having withdrawn the application for authorization of the operation, submitted on December 29, 2025, in application of Article 44.d) of the LDC.</w:t>
      </w:r>
    </w:p>
    <w:p>
      <w:r>
        <w:t>In accordance with the Report and Proposal sent by the Competition Directorate, the Competition Chamber has resolved, in application of Articles 57.2.e) and 44.d) of Law 15/2007, of July 3, on the Defense of Competition, to agree to archive the proceedings, to the extent that the parties in the operation withdraw their application for authorization submitted to the National Commission on Markets and Competition.</w:t>
      </w:r>
    </w:p>
    <w:p>
      <w:r>
        <w:t>This Resolution shall be communicated to the Competition Directorate of the National Commission on Markets and Competition and notified to the interested parties,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