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https://www.cnmc.es/expedientes/c164325</w:t>
      </w:r>
    </w:p>
    <w:p>
      <w:r>
        <w:t>Pages translated : 2</w:t>
      </w:r>
    </w:p>
    <w:p/>
    <w:p>
      <w:r>
        <w:rPr>
          <w:b/>
        </w:rPr>
        <w:t>[Pages 1–2]</w:t>
      </w:r>
    </w:p>
    <w:p>
      <w:r>
        <w:t xml:space="preserve">C/1643/25  </w:t>
        <w:br/>
        <w:t xml:space="preserve">EVERWOOD/ ALTAIR  </w:t>
        <w:br/>
        <w:t xml:space="preserve">RESOLUTION  </w:t>
        <w:br/>
        <w:t xml:space="preserve">CASE EVERWOOD/ ALTAIR  </w:t>
        <w:br/>
        <w:t xml:space="preserve">(C/1643/25)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January 8, 2026</w:t>
      </w:r>
    </w:p>
    <w:p>
      <w:r>
        <w:t>The Competition Chamber has analyzed the merger case processed in accordance with Law 15/2007, of July 3, on the Defense of Competition, concerning the economic concentration operation consisting of the acquisition by Everwood Capital, SGEIC, S.A., of exclusive control over Altair Consultores Logísticos, S.L., through the express creation of a new company under the control of EVERWOOD CAPITAL SGEIC that would acquire 100% of its share capital.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implementation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