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https://www.cnmc.es/expedientes/c164425</w:t>
      </w:r>
    </w:p>
    <w:p>
      <w:r>
        <w:t>Pages translated : 12</w:t>
      </w:r>
    </w:p>
    <w:p/>
    <w:p>
      <w:r>
        <w:rPr>
          <w:b/>
        </w:rPr>
        <w:t>[Pages 1–3]</w:t>
      </w:r>
    </w:p>
    <w:p>
      <w:r>
        <w:t xml:space="preserve">C/1644/25  </w:t>
        <w:br/>
        <w:t>DECATHLON / INTERSPORT ASSETS</w:t>
      </w:r>
    </w:p>
    <w:p>
      <w:r>
        <w:t xml:space="preserve">RESOLUTION  </w:t>
        <w:br/>
        <w:t xml:space="preserve">DECATHLON / INTERSPORT ASSETS FILE  </w:t>
        <w:br/>
        <w:t xml:space="preserve">(C/1644/25)  </w:t>
        <w:br/>
        <w:t xml:space="preserve">COUNCIL. COMPETITION CHAMBER  </w:t>
        <w:br/>
        <w:t xml:space="preserve">President  </w:t>
        <w:br/>
        <w:t xml:space="preserve">Ms. Cani Fernández Vicién  </w:t>
        <w:br/>
        <w:t xml:space="preserve">Counselors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June 25, 2026  </w:t>
        <w:br/>
        <w:t xml:space="preserve">The Competition Chamber of the National Commission on Markets and Competition (CNMC), with the composition expressed, by virtue of Article 58 of Law 15/2007, of July 3, on the Defense of Competition (LDC), has issued a resolution in the file C/1644/25 DECATHLON / INTERSPORT ASSETS, regarding the concentration operation consisting of the acquisition by Decathlon España, S.A.U. of exclusive control over 18 stores of the Intersport chain.  </w:t>
        <w:br/>
        <w:t xml:space="preserve">National Commission on Markets and Competition 1 of 12  </w:t>
        <w:br/>
        <w:t xml:space="preserve">C/ Alcalá, 47 – 28014 Madrid - C/ Bolivia, 56 – 08018 Barcelona  </w:t>
        <w:br/>
        <w:t>www.cnmc.es</w:t>
      </w:r>
    </w:p>
    <w:p>
      <w:r>
        <w:t xml:space="preserve">C/1644/25  </w:t>
        <w:br/>
        <w:t>DECATHLON / INTERSPORT ASSETS</w:t>
      </w:r>
    </w:p>
    <w:p>
      <w:r>
        <w:t xml:space="preserve">1. BACKGROUND  </w:t>
        <w:br/>
        <w:t xml:space="preserve">(1) On December 31, 2025, the notification of the economic concentration was received by the National Commission on Markets and Competition (CNMC), consisting of the acquisition by Decathlon España, S.A.U. (DECATHLON) of exclusive control over 18 stores of the Intersport chain (INTERSPORT ASSETS).  </w:t>
        <w:br/>
        <w:t xml:space="preserve">(2) During the first phase of the file, the Competition Directorate (DC) made the following information requests:  </w:t>
        <w:br/>
        <w:t xml:space="preserve">Table 1. Information requests in the first phase  </w:t>
        <w:br/>
        <w:t xml:space="preserve">Date Entities requested  </w:t>
        <w:br/>
        <w:t xml:space="preserve">January 2, 2026  </w:t>
        <w:br/>
        <w:t xml:space="preserve">January 13, 2026  </w:t>
        <w:br/>
        <w:t xml:space="preserve">January 20, 2026  </w:t>
        <w:br/>
        <w:t xml:space="preserve">February 19, 2026 DECATHLON  </w:t>
        <w:br/>
        <w:t xml:space="preserve">March 4, 2026  </w:t>
        <w:br/>
        <w:t xml:space="preserve">March 13, 2026  </w:t>
        <w:br/>
        <w:t xml:space="preserve">March 25, 2026  </w:t>
        <w:br/>
        <w:t xml:space="preserve">February 4, 2026 Third-party competitors  </w:t>
        <w:br/>
        <w:t xml:space="preserve">March 25, 2026 Third-party operators  </w:t>
        <w:br/>
        <w:t xml:space="preserve">(3) On March 3, 13, 23, and 27, 2026, the notifying party submitted proposals for commitments to resolve potential obstacles to the maintenance of effective competition that could arise from the concentration operation being analyzed. Pursuant to the provisions of Article 59.2 of the LDC, the submission of these commitments extended the deadline for issuing and notifying a resolution in the first phase of the procedure by 10 days.  </w:t>
        <w:br/>
        <w:t xml:space="preserve">(4) In accordance with Article 57.1 of Law 15/2007, of July 3, on the Defense of Competition (LDC), the DC formed a file and prepared the corresponding report on the operation along with a proposed resolution. The Council of the CNMC issued, on March 30, 2026, a resolution in the first phase, in which it agreed to initiate the second phase of the procedure in accordance with Article 57.2.c) of the aforementioned Law, considering that the cited concentration operation could hinder the maintenance of effective competition in all or some of the analyzed markets.  </w:t>
        <w:br/>
        <w:t xml:space="preserve">(5) In application of Article 58.1 of the LDC, the DC, on April 1, 2026, prepared a brief note on the concentration that was communicated to the notifying party, the Council of Consumers and Users, and third-party operators, for them to submit their allegations within a period of 10 days. Likewise, on April 10, 2026, it was made public on the CNMC website.  </w:t>
        <w:br/>
        <w:t xml:space="preserve">National Commission on Markets and Competition 2 of 12  </w:t>
        <w:br/>
        <w:t xml:space="preserve">C/ Alcalá, 47 – 28014 Madrid - C/ Bolivia, 56 – 08018 Barcelona  </w:t>
        <w:br/>
        <w:t>www.cnmc.es</w:t>
      </w:r>
    </w:p>
    <w:p>
      <w:r>
        <w:t xml:space="preserve">C/1644/25  </w:t>
        <w:br/>
        <w:t>DECATHLON / INTERSPORT ASSETS</w:t>
      </w:r>
    </w:p>
    <w:p>
      <w:r>
        <w:t xml:space="preserve">(6) Pursuant to the provisions of Article 58.1 of the LDC and Article 65.3 of Royal Decree 261/2008, of February 22, which approves the Regulation on the Defense of Competition (RDC), on April 14, 2026, the autonomous body was requested to issue the mandatory, non-binding report on the aforementioned concentration operation.  </w:t>
        <w:br/>
        <w:t xml:space="preserve">(7) On April 16, 2026, the DC prepared a statement of facts (PCH), in application of Article 58.2 of the LDC, which included the possible obstacles to competition arising from the concentration, notified on that same date to the interested parties for them to submit allegations within a period of 10 days. On April 30, 2026, DECATHLON communicated to the DC that it had no allegations to the PCH.  </w:t>
        <w:br/>
        <w:t xml:space="preserve">(8) On June 17, 2026, the notifying party submitted a new proposal for commitments in accordance with the provisions of Article 59 of the LDC. This proposal replaces the one submitted on April 23, 2026.  </w:t>
        <w:br/>
        <w:t xml:space="preserve">(9) During the second phase of the file, the DC made the following information requests to third parties that, pursuant to the provisions of Article 37.1 b) of the LDC, suspended the maximum deadline for resolution. The responses were received by the CNMC between April 29 and May 28, 2026:  </w:t>
        <w:br/>
        <w:t xml:space="preserve">Table 2. Information requests to third parties in the second phase  </w:t>
        <w:br/>
        <w:t xml:space="preserve">Date Entities requested  </w:t>
        <w:br/>
        <w:t xml:space="preserve">May 19, 2026  </w:t>
        <w:br/>
        <w:t xml:space="preserve">May 20, 2026 Third-party operators  </w:t>
        <w:br/>
        <w:t xml:space="preserve">May 21, 2026  </w:t>
        <w:br/>
        <w:t xml:space="preserve">April 28, 2026 Third-party competitors  </w:t>
        <w:br/>
        <w:t xml:space="preserve">(10) On June 4, 2026, the DC agreed to lift the suspension of the resolution deadline of the procedure.  </w:t>
        <w:br/>
        <w:t xml:space="preserve">(11) On June 23, 2026, the DC submitted its proposed report (IP) to the Council of the CNMC, in accordance with the provisions of Article 58 of the LDC.  </w:t>
        <w:br/>
        <w:t xml:space="preserve">(12) The Competition Chamber of the Council of the CNMC deliberated and ruled on the matter in its meeting of June 25, 2026.  </w:t>
        <w:br/>
        <w:t xml:space="preserve">National Commission on Markets and Competition 3 of 12  </w:t>
        <w:br/>
        <w:t xml:space="preserve">C/ Alcalá, 47 – 28014 Madrid - C/ Bolivia, 56 – 08018 Barcelona  </w:t>
        <w:br/>
        <w:t>www.cnmc.es</w:t>
      </w:r>
    </w:p>
    <w:p>
      <w:r>
        <w:rPr>
          <w:b/>
        </w:rPr>
        <w:t>[Pages 4–6]</w:t>
      </w:r>
    </w:p>
    <w:p>
      <w:r>
        <w:t xml:space="preserve">C/1644/25  </w:t>
        <w:br/>
        <w:t>DECATHLON / INTERSPORT ASSETS</w:t>
      </w:r>
    </w:p>
    <w:p>
      <w:r>
        <w:t>2. LEGAL GROUNDS</w:t>
      </w:r>
    </w:p>
    <w:p>
      <w:r>
        <w:t>2.1. In accordance with Article 58.4 of the LDC, based on the proposal for a final resolution from the Competition Directorate, the Competition Chamber will adopt, in the second phase, the decision in which it may: a) authorize the concentration; b) condition the authorization of the concentration on the fulfillment of certain commitments proposed by the notifying parties or conditions; c) prohibit the concentration; or d) agree to archive the proceedings in the cases provided for by law.</w:t>
      </w:r>
    </w:p>
    <w:p>
      <w:r>
        <w:t xml:space="preserve">2.2. In accordance with the provisions of Article 59 of the LDC, in order to resolve the obstacles to maintaining effective competition that may arise from the notified concentration operation, on June 17, 2026, the representative of the notifying party submitted a proposal for commitments. This proposal for commitments introduces a series of improvements compared to the previous proposal dated April 23, 2026.  </w:t>
        <w:br/>
        <w:t xml:space="preserve">The final proposal for commitments is set forth below:  </w:t>
        <w:br/>
        <w:t xml:space="preserve">The notifying party proposes the divestment of 131 of the INTERSPORT ASSETS that make up the UPA of Tenerife, which was preliminarily awarded to DECATHLON by the Insolvency Administration. For its part, the notifying party intends to exploit 1 of the assets.  </w:t>
        <w:br/>
        <w:t xml:space="preserve">The proposed divestment encompasses, as in the previous proposals for commitments, the lease or occupancy rights of the identified premises, any transferable rights necessary for the operation of the premises as a commercial space, and the fixed installations and non-removable structural elements linked to the premises.  </w:t>
        <w:br/>
        <w:t xml:space="preserve">DECATHLON commits to actively promote the subrogation in the lease agreements or the negotiation of new contracts with a third-party competitor with the landlords, for the 13 assets subject to divestment under the following conditions and obligations:  </w:t>
        <w:br/>
        <w:t xml:space="preserve">• Not to terminate any of the contracts in which it subrogates by insolvency obligation during the period of validity of the commitments.  </w:t>
        <w:br/>
        <w:t xml:space="preserve">• It will refrain from entering into new lease agreements with the landlords that replace the original contracts in which it subrogates by insolvency obligation, as well as renegotiating their conditions, to the extent that it depends on its will.  </w:t>
        <w:br/>
        <w:t xml:space="preserve">• Make its best efforts to ensure that the lease agreements of the 10 Assets that will be subject to active marketing remain in force throughout the entire marketing period corresponding to each Asset.  </w:t>
        <w:br/>
        <w:t xml:space="preserve">To this end, DECATHLON undertakes to contact the landlords as soon as the operation is authorized to, if necessary, negotiate extensions or manage the lease agreements through a tacit extension to ensure that said agreements remain in force throughout the entire period of the commitments. To fulfill this commitment, DECATHLON has submitted to the DC a responsible declaration in which it commits to act in good faith and with due diligence to ensure that the contracts of the 10 Assets that will be subject to active marketing remain in force throughout the entire marketing period.  </w:t>
        <w:br/>
        <w:t xml:space="preserve">DECATHLON acknowledges, however, that the renewal of the contracts will be conditioned on the acceptance or tolerance by the landlords, who may require the modification of certain contractual conditions. In the event that a decision of non-renewal of the lease contracts expiring during the validity of the commitments is received, DECATHLON commits to send such communication to the DC.  </w:t>
        <w:br/>
        <w:t xml:space="preserve">• Not to incur in any causes that could give the landlord the right to terminate the lease agreements, including those arising from the regulation, operation, or requirements of shopping centers.  </w:t>
        <w:br/>
        <w:t xml:space="preserve">• Payment of the rent of the lease agreements linked to the Assets subject to Divestment during the period of validity of the commitments, provided that the landlord does not alter the contractual conditions to the detriment of DECATHLON, particularly by imposing rent increases exceeding the CPI.  </w:t>
        <w:br/>
        <w:t xml:space="preserve">Given the particular contractual situation of some premises and considering the economic viability of the operation, DECATHLON does not assume the extension of the contract and the payment of the rent for the establishments of Carrefour, Hipertrébol (Adeje), and Chafiras. Notwithstanding the above, these stores will also be part of the active marketing process.  </w:t>
        <w:br/>
        <w:t xml:space="preserve">Within 10 business days from the notification of the CNMC resolution, DECATHLON will send to the DC, for its approval, the proposal for the designation of a real estate agent (Divestment Agent) who will have a mandate to identify interested competitors through a contract that includes incentives linked to success in their recruitment. This contract will also be sent to the DC within 10 business days.  </w:t>
        <w:br/>
        <w:t xml:space="preserve">In the first 3 months, within a phase called "active marketing," the Divestment Agent will carry out a series of actions to try to find competitors, including sending formal communications to at least 10 identified operators and to competitors identified by the DC.  </w:t>
        <w:br/>
        <w:t xml:space="preserve">The duration of the active marketing process will be 3 non-extendable months after the CNMC resolution regarding the establishments of Los Rodeos, Icod de los Vinos, Hipertrébol, Chafiras, Carrefour, Fañabe, Sansofe, Gran Sur, and Zentral Center, Parque Santiago III, and Parque Santiago VI; and 4 months regarding the establishments of Nivaria and Pirámides. In the case of Nivaria and Pirámides, a monthly extension is anticipated starting from the fourth month for a maximum of two months in the event of ongoing negotiations between the owner and a third party.  </w:t>
        <w:br/>
        <w:t xml:space="preserve">If after 3 months from the notification of the CNMC resolution the subrogation or assignment of the lease contract has not materialized, DECATHLON will be released from (i) the obligation to maintain the corresponding contract in the case of the establishment of Los Rodeos, Icod de los Vinos, Fañabe, Sansofe, Parque Santiago III, Parque Santiago VI, Gran Sur, and Zentral Center; and (ii) the obligations related to the active marketing process in the case of the establishments of Hipertrébol (Adeje), Carrefour, and Chafiras.  </w:t>
        <w:br/>
        <w:t xml:space="preserve">If after 4 months (and if applicable, the anticipated monthly extensions) from the notification of the CNMC resolution the subrogation or assignment of the lease contract has not materialized, DECATHLON will be released from the obligation to maintain the corresponding contract in the case of the establishments of Nivaria and Pirámides.  </w:t>
        <w:br/>
        <w:t>During the period of validity of the commitments, DECATHLON commits to send to the Competition Directorate of the CNMC a bi-monthly report on the monitoring of the marketing process that includes communications with potentially interested operators, the dialogue maintained with the owners of the premises, and a record of the visits made by interested operators to the premises. Notwithstanding the above, DECATHLON commits to send to the Subdirectorate of Surveillance a copy of the communications with the owners of the premises and with third parties.</w:t>
      </w:r>
    </w:p>
    <w:p>
      <w:r>
        <w:rPr>
          <w:b/>
        </w:rPr>
        <w:t>[Pages 7–9]</w:t>
      </w:r>
    </w:p>
    <w:p>
      <w:r>
        <w:t xml:space="preserve">C/1644/25  </w:t>
        <w:br/>
        <w:t xml:space="preserve">DECATHLON / INTERSPORT ASSETS  </w:t>
        <w:br/>
        <w:t xml:space="preserve">competitors, as well as the offers received within 24 hours from the time they occur.  </w:t>
        <w:br/>
        <w:t xml:space="preserve">On the other hand, DECATHLON commits to the elimination of any exclusivity clause in shopping centers and parks that limits the entry of operators in the retail sector of sporting goods on the island of Tenerife. In the same vein, DECATHLON commits not to include any exclusivity clause in the contract with the landlord of the El Trompo Shopping Center or with other landlords in Shopping Centers where Decathlon is established on the island of Tenerife.  </w:t>
        <w:br/>
        <w:t xml:space="preserve">Finally, DECATHLON commits not to reacquire or rehire directly or indirectly the premises subject to this Commitment for a period of 30 months from their effective transfer or resolution. DECATHLON also commits, during the same period, not to increase the total sales area on the island of Tenerife resulting from the divestments.  </w:t>
        <w:br/>
        <w:t xml:space="preserve">Assessment of the operation with the proposed commitments  </w:t>
        <w:br/>
        <w:t xml:space="preserve">The operation would generate risks in the retail market for sporting goods, which may materialize in a reduction of the supply and variety of sporting products, especially from third-party brands, a reduction in the quality and specialization of service, loss of geographical coverage, or a reduction in incentives for innovation in the establishments.  </w:t>
        <w:br/>
        <w:t xml:space="preserve">The adequacy, sufficiency, and proportionality of the final commitments presented by the notifier have been analyzed to assess whether they effectively eliminate the potential obstacles to competition posed by the notified concentration operation.  </w:t>
        <w:br/>
        <w:t xml:space="preserve">As concluded in the IP for the transition to the second phase and in the PCH, the proposed commitments presented on March 27, 2026, were not sufficient to neutralize the risks identified in the first phase of the procedure.  </w:t>
        <w:br/>
        <w:t xml:space="preserve">As stated, the DC estimated that the joint shares remained high, especially in several areas of influence in the northeast and the north-central strip. This was due, among other reasons, to the unfeasibility of the divestments proposed by the notifier in the case of the assets of Chafiras, Los Rodeos, Sansofé, Pirámides, and Carrefour.  </w:t>
        <w:br/>
        <w:t xml:space="preserve">In contrast, after the fulfillment of the proposed measures on June 17, 2026, which involve the acquisition of a single asset, the resulting shares from the operation will be as follows:  </w:t>
        <w:br/>
        <w:t>5 The DC has been made aware of the existence of an exclusivity clause in [CONFIDENTIAL]</w:t>
      </w:r>
    </w:p>
    <w:p>
      <w:r>
        <w:t xml:space="preserve">C/1644/25  </w:t>
        <w:br/>
        <w:t xml:space="preserve">DECATHLON / INTERSPORT ASSETS  </w:t>
        <w:br/>
        <w:t xml:space="preserve">Table 9. Market shares in the retail market with commitments presented according to the sports article on the island of Tenerife in 2025 by area (m2)  </w:t>
        <w:br/>
        <w:t xml:space="preserve">Clothing Footwear  </w:t>
        <w:br/>
        <w:t xml:space="preserve">Entity Clothing Technical Footwear Technical Equipment  </w:t>
        <w:br/>
        <w:t xml:space="preserve">DECATHLON [20-30]% [40-50]% [10-20]% [20-30]% [40-50]%  </w:t>
        <w:br/>
        <w:t xml:space="preserve">EL TROMPO [0-5]% [0-5]% [0-5]% [5-10]% [0-5]%  </w:t>
        <w:br/>
        <w:t xml:space="preserve">JOINT [30-40]% [40-50]% [20-30]% [30-40]% [40-50]%  </w:t>
        <w:br/>
        <w:t xml:space="preserve">DIVESTED ASSETS [10-20]% [20-30]% [20-30]% [30-40]% [10-20]%  </w:t>
        <w:br/>
        <w:t xml:space="preserve">JD SPORTS GROUP [20-30]% [5-10]% [20-30]% [5-10]% [0-5]%  </w:t>
        <w:br/>
        <w:t xml:space="preserve">OTHERS [20-30]% [20-30]% [30-40]% [20-30]% [40-50]%  </w:t>
        <w:br/>
        <w:t xml:space="preserve">Table 10. Market shares in the retail market with commitments presented according to the sports article in the north of the island of Tenerife in 2025 by area (m2)  </w:t>
        <w:br/>
        <w:t xml:space="preserve">Clothing Footwear  </w:t>
        <w:br/>
        <w:t xml:space="preserve">Entity Clothing Technical Footwear Technical Equipment  </w:t>
        <w:br/>
        <w:t xml:space="preserve">DECATHLON [30-40]% [40-50]% [20-30]% [30-40]% [40-50]%  </w:t>
        <w:br/>
        <w:t xml:space="preserve">EL TROMPO [5-10]% [5-10]% [10-20]% [10-20]% [5-10]%  </w:t>
        <w:br/>
        <w:t xml:space="preserve">JOINT [30-40]% [50-60]% [30-40]% [40-50]% [50-60]%  </w:t>
        <w:br/>
        <w:t xml:space="preserve">DIVESTED ASSETS [10-20]% [10-20]% [10-20]% [10-20]% [5-10]%  </w:t>
        <w:br/>
        <w:t xml:space="preserve">JD SPORTS GROUP [20-30]% [5-10]% [10-20]% [5-10]% [5-10]%  </w:t>
        <w:br/>
        <w:t xml:space="preserve">EL CORTE INGLÉS [5-10]% [0-5]% [0-5]% [0-5]% [0-5]%  </w:t>
        <w:br/>
        <w:t xml:space="preserve">OTHERS [20-30]% [20-30]% [30-40]% [20-30]% [30-40]%  </w:t>
        <w:br/>
        <w:t xml:space="preserve">Table 11. Market shares in the retail market with commitments presented according to the sports article in the northeast and the north-central strip of the island of Tenerife in 2025 by area (m2)  </w:t>
        <w:br/>
        <w:t xml:space="preserve">Clothing Footwear  </w:t>
        <w:br/>
        <w:t xml:space="preserve">Entity Clothing Technical Footwear Technical Equipment  </w:t>
        <w:br/>
        <w:t xml:space="preserve">DECATHLON [30-40]% [50-60]% [20-30]% [30-40]% [40-50]%  </w:t>
        <w:br/>
        <w:t xml:space="preserve">EL TROMPO [5-10]% [5-10]% [10-20]% [10-20]% [0-5]%  </w:t>
        <w:br/>
        <w:t xml:space="preserve">JOINT [40-50]% [50-60]% [30-40]% [40-50]% [50-60]%  </w:t>
        <w:br/>
        <w:t xml:space="preserve">DIVESTED ASSETS [10-20]% [10-20]% [10-20]% [10-20]% [5-10]%  </w:t>
        <w:br/>
        <w:t xml:space="preserve">JD SPORTS GROUP [20-30]% [5-10]% [10-20]% [5-10]% [0-5]%  </w:t>
        <w:br/>
        <w:t xml:space="preserve">EL CORTE INGLÉS [5-10]% [0-5]% [0-5]% [0-5]% [0-5]%  </w:t>
        <w:br/>
        <w:t xml:space="preserve">OTHERS [20-30]% [20-30]% [30-40]% [20-30]% [30-40]%  </w:t>
        <w:br/>
        <w:t xml:space="preserve">In light of this data, the addition of share is lower than that of the proposed commitments evaluated in the PCH and, in any case, below 15%, which implies that the operation will moderately alter the previous market structure.  </w:t>
        <w:br/>
        <w:t xml:space="preserve">Furthermore, the new proposal includes measures that ensure that the duration of the commitments is balanced and longer for the assets located in the area of influence where the El Trompo establishment is located (4 months extendable compared to 3).  </w:t>
        <w:br/>
        <w:t xml:space="preserve">On the other hand, the commitment to eliminate any exclusivity clause in shopping centers and parks allows for a reduction of the entry barriers identified that operated as a market closure to third parties, thereby reinforcing the problems arising from this operation.  </w:t>
        <w:br/>
        <w:t xml:space="preserve">Likewise, DECATHLON has presented a series of additional measures that ensure that the implementation of the divestment procedure can be adequately controlled by the CNMC. Therefore, the proposed divestments, as well as the additional measures included, are positively assessed, although the DC continues to consider, as it has maintained, that ensuring the viability of the proposed divestments is fundamental to guarantee that this operation is compatible with effective competition.  </w:t>
        <w:br/>
        <w:t xml:space="preserve">In this regard, DECATHLON assumes obligations to ensure that the lease agreements are in force during the duration of the commitments, both by negotiating extensions with the landlords and by not incurring causes for early termination. Furthermore, it ensures that divestment is possible for all Assets regardless of the state of the lease agreements, making all of them available to the divestment agent within the active marketing process.  </w:t>
        <w:br/>
        <w:t xml:space="preserve">Therefore, the active marketing of the 13 Assets Subject to Divestment along with the responsible declaration signed by DECATHLON offers greater guarantees regarding the viability of the proposed divestments than those that existed at the time of drafting the PCH.  </w:t>
        <w:br/>
        <w:t xml:space="preserve">However, in line with what was stated in the IP and the PCH, and after contacting the landlords of the affected assets, the DC maintains that some of the proposed divestments may not be viable due to the state of the lease agreements, even with interested competitors. This particularly affects the divestments of Nivaria, Pirámides, Los Rodeos, and Carrefour, assets located in the north of the island of Tenerife, which overlap with the El Trompo establishment, which will be acquired by DECATHLON.  </w:t>
        <w:br/>
        <w:t xml:space="preserve">Regarding Nivaria, DECATHLON has sent the DC a signed lease agreement with the owner of that establishment, subject to a suspensive clause consisting of the award of the Productive Unit of Intersport by DECATHLON.  </w:t>
        <w:br/>
        <w:t xml:space="preserve">Regarding Pirámides, as reflected in the IP for the transition to the second phase, the lease agreement expires at the end of June 2026. The landlord of that asset has not confirmed to the DC their willingness to renew that contract.  </w:t>
        <w:br/>
        <w:t xml:space="preserve">In a similar situation is Carrefour, whose contract, as also indicated in the IP for the transition to the second phase, will expire in October 2026, following the early termination by the landlord.  </w:t>
        <w:br/>
        <w:t>Regarding Los Rodeos, as also reflected in the IP for the transition to the second phase, following a lawsuit filed against Intersport by the landlord, amendments to the lease contract have been chained, and pending clarification of the future of the company, there is no record that DECATHLON has shown interest in the situation of that asset.</w:t>
      </w:r>
    </w:p>
    <w:p>
      <w:r>
        <w:rPr>
          <w:b/>
        </w:rPr>
        <w:t>[Pages 10–12]</w:t>
      </w:r>
    </w:p>
    <w:p>
      <w:r>
        <w:t xml:space="preserve">C/1644/25  </w:t>
        <w:br/>
        <w:t xml:space="preserve">DECATHLON / INTERSPORT ASSETS  </w:t>
        <w:br/>
        <w:t xml:space="preserve">landlord of Los Rodeos, there have been no updates on the status of this asset since the CNMC's resolution in the first phase. In fact, most landlords have informed the DC that Decathlon has not established contact with them since the notification of the PCH dated April 16, 20266. Furthermore, in the PCH, the proposed commitments were deemed insufficient, also due to the absence of upfront buyers, and there is no record that DECATHLON has established any contact since then with potential competitors interested in subrogating the aforementioned contracts. Additionally, the DC has been able to gather interest from several competitors during this time.  </w:t>
        <w:br/>
        <w:t xml:space="preserve">For the above reasons, the DC considers the measures presented insufficient to ensure an effective divestment of the assets located in the same area of influence as the establishment El Trompo, for which there are also potential interested parties; in particular, those whose expiration date is approaching (Pirámides), those for which DECATHLON has already negotiated a contract subject to a suspensive condition (Nivaria), and in Los Rodeos, where the status of the lease agreement may be incompatible with effective divestment.  </w:t>
        <w:br/>
        <w:t xml:space="preserve">2.3. This Chamber, having reviewed the file processed and analyzed in the report on the operation, agrees with the assessment of the Competition Directorate included in the proposed report and considers that the commitments presented by the notifier are not sufficient to resolve some of the identified obstacles to competition. Therefore, the execution of the operation must be subordinated to the fulfillment, in addition to the commitments presented by DECATHLON, of the following conditions:  </w:t>
        <w:br/>
        <w:t xml:space="preserve">Condition 1. Communications to the landlords of the assets.  </w:t>
        <w:br/>
        <w:t xml:space="preserve">Within 2 business days from the notification of the CNMC's resolution, DECATHLON will send to the owners of the assets subject to divestment a communication in which it expresses its willingness to maintain the validity of the contracts in which it subrogates by insolvency mandate, during the period of validity of the commitments, extending, if necessary, the contracts that are close to expiration. As already indicated in the proposed commitments, DECATHLON will send the Competition Directorate a copy of the communications with the property owners and with third-party competitors within 24 hours of their occurrence. In this communication, DECATHLON will inform the owners of each asset subject to divestment (excluding Chafiras, Carrefour, and Adeje) that it is willing to assume the payment of the rent during the active marketing period, as was conveyed to the DC in the proposed commitments (in the case of Los Rodeos, during the period specified in Condition 3).  </w:t>
        <w:br/>
        <w:t xml:space="preserve">6 Pages 1970 and 1995.  </w:t>
        <w:br/>
        <w:t xml:space="preserve">C/ Alcalá, 47 – 28014 Madrid - C/ Bolivia, 56 – 08018 Barcelona  </w:t>
        <w:br/>
        <w:t>www.cnmc.es</w:t>
      </w:r>
    </w:p>
    <w:p>
      <w:r>
        <w:t xml:space="preserve">C/1644/25  </w:t>
        <w:br/>
        <w:t xml:space="preserve">DECATHLON / INTERSPORT ASSETS  </w:t>
        <w:br/>
        <w:t xml:space="preserve">In the case of the assets for which DECATHLON has signed new lease agreements subject to a suspensive clause (Nivaria, Parque Santiago III, and Parque Santiago VI), the owners of those assets must be informed about the active marketing process of the same and the consequences this will have on the contracts negotiated under such condition. Likewise, in this communication, DECATHLON will inform the owners of each asset subject to divestment of the interest shown by third-party competitors in response to the DC's requests. To this end, the DC has confirmed that there are several operators interested in some of the assets subject to divestment. Frasers Group has shown interest in the following assets: Nivaria, Parque Santiago VI, Parque Santiago III, and Chafiras. Sprinter, for its part, has shown interest in Nivaria, Pirámides, Parque Santiago VI, Sansofe, Fañabe, and Gran Sur. Finally, another operator has shown interest in Los Rodeos, Parque Santiago VI, Zentral, and Gran Sur.  </w:t>
        <w:br/>
        <w:t xml:space="preserve">Condition 2. Communications with interested competitors.  </w:t>
        <w:br/>
        <w:t xml:space="preserve">Within 2 business days from the notification of the CNMC's resolution, DECATHLON commits to send to the operators identified by the CNMC in the previous paragraph, who have shown interest in one or more assets subject to divestment, a communication in which it will inform them of the main elements of the commitments and conditions of the IP. In any case, this communication will contain the CNMC's resolution, the assets being divested, the active marketing period for each of them, the information sent to the landlords, the contact details of the landlords, and any other non-confidential information available to DECATHLON regarding the status of the lease agreements.  </w:t>
        <w:br/>
        <w:t xml:space="preserve">As indicated in the proposed commitments, DECATHLON will send the Competition Directorate a copy of the communications with the third-party competitors within 24 hours of their occurrence.  </w:t>
        <w:br/>
        <w:t xml:space="preserve">Condition 3. Active marketing period in Los Rodeos  </w:t>
        <w:br/>
        <w:t xml:space="preserve">In the case of Los Rodeos, a monthly extension is anticipated starting from the third month of the active marketing period for a maximum of two months in the event of ongoing negotiations between the owner and a third-party competitor interested.  </w:t>
        <w:br/>
        <w:t xml:space="preserve">2.4. Having analyzed the Report and Proposal prepared by the Competition Directorate and in accordance with the aforementioned, this Chamber proposes to subordinate the present concentration C/1644/25 to the fulfillment of the commitments presented by DECATHLON on June 17, 2026, and to the conditions set forth in that Report and in this resolution.  </w:t>
        <w:br/>
        <w:t xml:space="preserve">C/ Alcalá, 47 – 28014 Madrid - C/ Bolivia, 56 – 08018 Barcelona  </w:t>
        <w:br/>
        <w:t>www.cnmc.es</w:t>
      </w:r>
    </w:p>
    <w:p>
      <w:r>
        <w:t xml:space="preserve">C/1644/25  </w:t>
        <w:br/>
        <w:t xml:space="preserve">DECATHLON / INTERSPORT ASSETS  </w:t>
        <w:br/>
        <w:t xml:space="preserve">3. RESOLVES  </w:t>
        <w:br/>
        <w:t xml:space="preserve">First. In accordance with Article 58.4.b) of Law 15/2007, of July 3, on the Defense of Competition, to subordinate the authorization of the concentration C/1644/25 DECATHLON / INTERSPORT ASSETS to the fulfillment of the commitments presented by Decathlon España, S.A.U. and to the conditions reproduced in the Report and Proposal and in this resolution.  </w:t>
        <w:br/>
        <w:t xml:space="preserve">Second. In accordance with the provisions of Article 58.6 of the LDC, this resolution will be executive when any of the circumstances provided for in that article occur.  </w:t>
        <w:br/>
        <w:t xml:space="preserve">Third. The non-compliance with the provisions of this resolution will be considered a very serious infringement according to the provisions of Article 62.4.c) of the LDC.  </w:t>
        <w:br/>
        <w:t xml:space="preserve">Fourth. By virtue of the provisions of Articles 41 of the LDC and 71 of the RDC, the monitoring of this resolution is entrusted to the Competition Directorate.  </w:t>
        <w:br/>
        <w:t xml:space="preserve">This resolution shall be communicated to the Competition Directorate and to the Minister of Economy, Trade, and Business, as provided in Article 58.5 of the LDC. Likewise, it shall be notified to the interested parties, informing them that this resolution will not be effective, nor executive, nor will it conclude the administrative procedure if none of the two circumstances provided for in letters a) or b) of Article 58.6 of the LDC occur,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