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https://www.cnmc.es/expedientes/c164525</w:t>
      </w:r>
    </w:p>
    <w:p>
      <w:r>
        <w:t>Pages translated : 2</w:t>
      </w:r>
    </w:p>
    <w:p/>
    <w:p>
      <w:r>
        <w:rPr>
          <w:b/>
        </w:rPr>
        <w:t>[Pages 1–2]</w:t>
      </w:r>
    </w:p>
    <w:p>
      <w:r>
        <w:t xml:space="preserve">C/1645/25  </w:t>
        <w:br/>
        <w:t xml:space="preserve">EQT / ADEVINTA  </w:t>
        <w:br/>
        <w:t xml:space="preserve">RESOLUTION  </w:t>
        <w:br/>
        <w:t xml:space="preserve">FILE EQT / ADEVINTA  </w:t>
        <w:br/>
        <w:t xml:space="preserve">(C/1645/25)  </w:t>
        <w:br/>
        <w:t>COUNCIL. COMPETITION CHAMBER</w:t>
      </w:r>
    </w:p>
    <w:p>
      <w:r>
        <w:t xml:space="preserve">President  </w:t>
        <w:br/>
        <w:t>Ms. Cani Fernández Vicién</w:t>
      </w:r>
    </w:p>
    <w:p>
      <w:r>
        <w:t xml:space="preserve">Counselors  </w:t>
        <w:br/>
        <w:t xml:space="preserve">Mr. Rafael Iturriaga Nieva  </w:t>
        <w:br/>
        <w:t xml:space="preserve">Mr. Pere Soler Campins  </w:t>
        <w:br/>
        <w:t>Ms. María Vidales Picazo</w:t>
      </w:r>
    </w:p>
    <w:p>
      <w:r>
        <w:t xml:space="preserve">Secretary of the Council  </w:t>
        <w:br/>
        <w:t>Mr. Miguel Bordiu Garcia-Ovies</w:t>
      </w:r>
    </w:p>
    <w:p>
      <w:r>
        <w:t>In Madrid, on January 28, 2026</w:t>
      </w:r>
    </w:p>
    <w:p>
      <w:r>
        <w:t>The Competition Chamber has analyzed the concentration file processed in accordance with Law 15/2007, of July 3, on the Defense of Competition, regarding the economic concentration operation consisting of the acquisition by the investment fund EQT X of exclusive control over Adevinta Netherlands, N.V. and its operating subsidiaries: (i) Adevinta Jobs S.L.U., owner of the employment and training portal infojobs.net; (ii) Adevinta Motor, S.L.U., owner of the portals coches.net and motos.net and the multiproduct portal Milanuncios; and (iii) Adevinta Information Services, S.L.U. (the target business). In accordance with the report and proposal submitted by the Directorate of Competition, the Competition Chamber has resolved, under the application of Article 57.2.a) of the aforementioned Law 15/2007, of July 3, to authorize the aforementioned concentration operation.</w:t>
      </w:r>
    </w:p>
    <w:p>
      <w:r>
        <w:t>Likewise, in accordance with the principle of self-assessment, as stated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this in accordance with what is indicated in the aforementioned report proposal from the Directorate of Competition.</w:t>
      </w:r>
    </w:p>
    <w:p>
      <w:r>
        <w:t xml:space="preserve">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