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https://www.cnmc.es/expedientes/c164826</w:t>
      </w:r>
    </w:p>
    <w:p>
      <w:r>
        <w:t>Pages translated : 1</w:t>
      </w:r>
    </w:p>
    <w:p/>
    <w:p>
      <w:r>
        <w:rPr>
          <w:b/>
        </w:rPr>
        <w:t>[Pages 1–1]</w:t>
      </w:r>
    </w:p>
    <w:p>
      <w:r>
        <w:t xml:space="preserve">C/1648/26  </w:t>
        <w:br/>
        <w:t xml:space="preserve">BOYACÁ / LOGISTA PUBLICACIONES  </w:t>
        <w:br/>
        <w:t xml:space="preserve">RESOLUTION  </w:t>
        <w:br/>
        <w:t xml:space="preserve">FILE BOYACÁ / LOGISTA PUBLICACIONES  </w:t>
        <w:br/>
        <w:t xml:space="preserve">(C/1648/26)  </w:t>
        <w:br/>
        <w:t xml:space="preserve">COUNCIL. COMPETITION CHAMBER  </w:t>
        <w:br/>
        <w:t xml:space="preserve">President  </w:t>
        <w:br/>
        <w:t xml:space="preserve">Ms. Cani Fernández Vicién  </w:t>
        <w:br/>
        <w:t xml:space="preserve">Councilors  </w:t>
        <w:br/>
        <w:t xml:space="preserve">Mr. Rafael Iturriaga Nieva  </w:t>
        <w:br/>
        <w:t xml:space="preserve">Mr. Pere Soler Campins  </w:t>
        <w:br/>
        <w:t xml:space="preserve">Ms. María Vidales Picazo  </w:t>
        <w:br/>
        <w:t xml:space="preserve">Secretary of the Council  </w:t>
        <w:br/>
        <w:t xml:space="preserve">Mr. Miguel Bordiu Garcia-Ovies  </w:t>
        <w:br/>
        <w:t xml:space="preserve">In Madrid, on March 11, 2026  </w:t>
        <w:br/>
        <w:t xml:space="preserve">The Competition Chamber has analyzed the concentration file processed in accordance with Law 15/2007, of July 3, on the Defense of Competition, regarding the economic concentration operation consisting of the acquisition of exclusive control by Boyacá S.L. (BOYACÁ) of Compañía de Distribución Integral de Publicaciones Logista (LOGISTA PUBLICACIONES) and its subsidiaries through the purchase of 100% of its shares. According to the report and the proposal submitted by the Directorate of Competition, the Competition Chamber has resolved, in application of Article 57.2.b) of the aforementioned Law 15/2007, of July 3, to authorize the aforementioned concentration operation in the first phase with commitments.  </w:t>
        <w:br/>
        <w:t xml:space="preserve">This Resolution shall be communicated to the Directorate of Competition of the National Commission of Markets and Competition and notified to the interested party, informing them that it concludes the administrative process and that a contentious-administrative appeal may be filed against it before the National Court, within two months from the day following its notification.  </w:t>
        <w:br/>
        <w:t xml:space="preserve">National Commission of Markets and Competition 1 of 1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