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https://www.cnmc.es/expedientes/c165126</w:t>
      </w:r>
    </w:p>
    <w:p>
      <w:r>
        <w:t>Pages translated : 2</w:t>
      </w:r>
    </w:p>
    <w:p/>
    <w:p>
      <w:r>
        <w:rPr>
          <w:b/>
        </w:rPr>
        <w:t>[Pages 1–2]</w:t>
      </w:r>
    </w:p>
    <w:p>
      <w:r>
        <w:t xml:space="preserve">C/1651/26  </w:t>
        <w:br/>
        <w:t xml:space="preserve">SAPIENCIA BIDCO/GUADARRAMA EDUCATIONAL PROJECTS  </w:t>
        <w:br/>
        <w:t xml:space="preserve">RESOLUTION  </w:t>
        <w:br/>
        <w:t xml:space="preserve">FILE SAPIENCIA BIDCO/GUADARRAMA EDUCATIONAL PROJECTS  </w:t>
        <w:br/>
        <w:t xml:space="preserve">(C/1651/26)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February 3, 2026</w:t>
      </w:r>
    </w:p>
    <w:p>
      <w:r>
        <w:t>The Competition Chamber has analyzed the concentration file processed in accordance with Law 15/2007, of July 3, on the Defense of Competition, regarding the economic concentration operation consisting of the acquisition by Sapiencia Bidco, S.L.U. (SAPIENCIA), controlled by Cinven Limited. (CINVEN), of exclusive control over Guadarrama Proyectos Educativos, S.L. (GUADARRAMA), and its operational subsidiaries, which manage the Universidad Alfonso X El Sabio (UAX), Universidad Alfonso X El Sabio Mare Nostrum (UAX MN), Centro FP Alfonso X El Sabio (UAX FP), the MIR Asturias training academy (MIR ASTURIAS), The Valley Business &amp; Tech School (THE VALLEY), and the Claudio Galeno Higher Vocational Training Institutes (CLAUDIO GALENO) and XTART Vocational Training (XTART). In accordance with the report and proposal submitted by the Competition Directorate,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National Commission of Markets and Competition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