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https://www.cnmc.es/expedientes/c165426</w:t>
      </w:r>
    </w:p>
    <w:p>
      <w:r>
        <w:t>Pages translated : 1</w:t>
      </w:r>
    </w:p>
    <w:p/>
    <w:p>
      <w:r>
        <w:rPr>
          <w:b/>
        </w:rPr>
        <w:t>[Pages 1–1]</w:t>
      </w:r>
    </w:p>
    <w:p>
      <w:r>
        <w:t xml:space="preserve">C/1654/26  </w:t>
        <w:br/>
        <w:t xml:space="preserve">PALLADIUM / PALATINUS MARE  </w:t>
        <w:br/>
        <w:t xml:space="preserve">RESOLUTION  </w:t>
        <w:br/>
        <w:t xml:space="preserve">FILE PALLADIUM / PALATINUS MARE  </w:t>
        <w:br/>
        <w:t xml:space="preserve">(C/1654/26)  </w:t>
        <w:br/>
        <w:t xml:space="preserve">COUNCIL. COMPETITION CHAMBER  </w:t>
        <w:br/>
        <w:t xml:space="preserve">President  </w:t>
        <w:br/>
        <w:t xml:space="preserve">Ms. Cani Fernández Vicién  </w:t>
        <w:br/>
        <w:t xml:space="preserve">Counselors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February 18, 2026  </w:t>
        <w:br/>
        <w:t xml:space="preserve">The Competition Chamber has analyzed the merger file processed in accordance with Law 15/2007, of July 3, on the Defense of Competition, concerning the economic concentration operation consisting of the acquisition, by Fiesta Hotels &amp; Resorts, S.L. (PALLADIUM), of exclusive control over Palatinus Mare, S.L. (PALATINUS MARE). In accordance with the report and proposal submitted by the Competition Directorate, the Competition Chamber has resolved, applying Article 57.2.a) of the aforementioned Law 15/2007, of July 3, to authorize the aforementioned concentration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