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https://www.cnmc.es/expedientes/c165726</w:t>
      </w:r>
    </w:p>
    <w:p>
      <w:r>
        <w:t>Pages translated : 2</w:t>
      </w:r>
    </w:p>
    <w:p/>
    <w:p>
      <w:r>
        <w:rPr>
          <w:b/>
        </w:rPr>
        <w:t>[Pages 1–2]</w:t>
      </w:r>
    </w:p>
    <w:p>
      <w:r>
        <w:t xml:space="preserve">C/1657/26  </w:t>
        <w:br/>
        <w:t xml:space="preserve">NEAPCO / IFA  </w:t>
        <w:br/>
        <w:t xml:space="preserve">RESOLUTION  </w:t>
        <w:br/>
        <w:t xml:space="preserve">FILE NEAPCO / IFA  </w:t>
        <w:br/>
        <w:t xml:space="preserve">(C/1657/26)  </w:t>
        <w:br/>
        <w:t>COUNCIL. COMPETITION CHAMBER</w:t>
      </w:r>
    </w:p>
    <w:p>
      <w:r>
        <w:t xml:space="preserve">President  </w:t>
        <w:br/>
        <w:t>Ms. Cani Fernández Vicién</w:t>
      </w:r>
    </w:p>
    <w:p>
      <w:r>
        <w:t xml:space="preserve">Council Members  </w:t>
        <w:br/>
        <w:t xml:space="preserve">Mr. Rafael Iturriaga Nieva  </w:t>
        <w:br/>
        <w:t xml:space="preserve">Mr. Pere Soler Campins  </w:t>
        <w:br/>
        <w:t>Ms. María Vidales Picazo</w:t>
      </w:r>
    </w:p>
    <w:p>
      <w:r>
        <w:t xml:space="preserve">Secretary of the Council  </w:t>
        <w:br/>
        <w:t>Mr. Miguel Bordiu Garcia-Ovies</w:t>
      </w:r>
    </w:p>
    <w:p>
      <w:r>
        <w:t>In Madrid, on February 25, 2026</w:t>
      </w:r>
    </w:p>
    <w:p>
      <w:r>
        <w:t>The Competition Chamber has analyzed the merger file processed in accordance with Law 15/2007, of July 3, on the Defense of Competition, concerning the economic concentration operation consisting of the indirect acquisition by Neapco Germany HoldCo GmbH and Neapco Germany BidCo GmbH (jointly NEAPCO) of 100% of the share capital of IFA Holdings, IFA Technologies GmbH, and IFA Powertrain Management GmbH, as well as all shares of IFA Powertrain GmbH &amp; Co KG (jointly IFA). According to the report and proposal submitted by the Competition Directorate, the Competition Chamber has resolved, in application of Article 57.2.a) of the aforementioned Law 15/2007, of July 3, to authorize the aforementioned concentration operation.</w:t>
      </w:r>
    </w:p>
    <w:p>
      <w:r>
        <w:t>Likewise, in accordance with the principle of self-assessment, as set forth in recital 21 of Council Regulation 139/2004, of January 20, 2004, on the control of concentrations between enterprises and as established in the Commission Communication on restrictions directly linked to the implementation of a concentration and necessary for that purpose (2005/C 56/03), it is up to the affected companies themselves to determine to what extent in a concentration operation their agreements are ancillary to it. All of this in accordance with what is indicated in the aforementioned report proposal from the Competition Directorate.</w:t>
      </w:r>
    </w:p>
    <w:p>
      <w:r>
        <w:t xml:space="preserve">National Commission of Markets and Competition 1 of 2  </w:t>
        <w:br/>
        <w:t xml:space="preserve">C/ Alcalá, 47 – 28014 Madrid - C/ Bolivia, 56 – 08018 Barcelona  </w:t>
        <w:br/>
        <w:t>www.cnmc.es</w:t>
      </w:r>
    </w:p>
    <w:p>
      <w:r>
        <w:t xml:space="preserve">C/1657/26  </w:t>
        <w:br/>
        <w:t xml:space="preserve">NEAPCO / IFA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