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https://www.cnmc.es/expedientes/c165826</w:t>
      </w:r>
    </w:p>
    <w:p>
      <w:r>
        <w:t>Pages translated : 2</w:t>
      </w:r>
    </w:p>
    <w:p/>
    <w:p>
      <w:r>
        <w:rPr>
          <w:b/>
        </w:rPr>
        <w:t>[Pages 1–2]</w:t>
      </w:r>
    </w:p>
    <w:p>
      <w:r>
        <w:t xml:space="preserve">C/1658/26  </w:t>
        <w:br/>
        <w:t xml:space="preserve">THREE HILLS/AZORA/GRUPO ISFA  </w:t>
        <w:br/>
        <w:t xml:space="preserve">RESOLUTION  </w:t>
        <w:br/>
        <w:t xml:space="preserve">FILE THREE HILLS/AZORA/GRUPO ISFA  </w:t>
        <w:br/>
        <w:t xml:space="preserve">(C/1658/26)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February 25, 2026</w:t>
      </w:r>
    </w:p>
    <w:p>
      <w:r>
        <w:t>The Competition Chamber has analyzed the concentration file processed in accordance with Law 15/2007, of July 3, on the Defense of Competition, related to the economic concentration operation consisting of the acquisition, by TH CERES S.A.R.L. (THREE HILLS) and LOS ALMENDROS SPV, S.L. (AZORA CAPITAL S.L.) of joint control of IBERIAN FAIR FARMING S.À R.L., IBERIAN SMART FARMING S.À R.L., and IBERIAN SMART FINANCIAL AGRO, S.L and dependent companies (GRUPO ISFA). In accordance with the report and proposal submitted by the Directorate of Competition, the Competition Chamber has resolved, under the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C/1658/26  </w:t>
        <w:br/>
        <w:t xml:space="preserve">THREE HILLS/AZORA/GRUPO ISFA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