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https://www.cnmc.es/expedientes/c165926</w:t>
      </w:r>
    </w:p>
    <w:p>
      <w:r>
        <w:t>Pages translated : 2</w:t>
      </w:r>
    </w:p>
    <w:p/>
    <w:p>
      <w:r>
        <w:rPr>
          <w:b/>
        </w:rPr>
        <w:t>[Pages 1–2]</w:t>
      </w:r>
    </w:p>
    <w:p>
      <w:r>
        <w:t xml:space="preserve">C/1659/26  </w:t>
        <w:br/>
        <w:t xml:space="preserve">APOLLO-TEGA / MOLYCOP  </w:t>
        <w:br/>
        <w:t xml:space="preserve">RESOLUTION  </w:t>
        <w:br/>
        <w:t xml:space="preserve">FILE APOLLO-TEGA / MOLYCOP  </w:t>
        <w:br/>
        <w:t xml:space="preserve">(C/1659/26)  </w:t>
        <w:br/>
        <w:t>COUNCIL. COMPETITION CHAMBER</w:t>
      </w:r>
    </w:p>
    <w:p>
      <w:r>
        <w:t xml:space="preserve">President  </w:t>
        <w:br/>
        <w:t>Ms. Cani Fernández Vicién</w:t>
      </w:r>
    </w:p>
    <w:p>
      <w:r>
        <w:t xml:space="preserve">Councilors  </w:t>
        <w:br/>
        <w:t xml:space="preserve">Mr. Rafael Iturriaga Nieva  </w:t>
        <w:br/>
        <w:t xml:space="preserve">Mr. Pere Soler Campins  </w:t>
        <w:br/>
        <w:t>Ms. María Vidales Picazo</w:t>
      </w:r>
    </w:p>
    <w:p>
      <w:r>
        <w:t xml:space="preserve">Secretary of the Council  </w:t>
        <w:br/>
        <w:t>Mr. Miguel Bordiu Garcia-Ovies</w:t>
      </w:r>
    </w:p>
    <w:p>
      <w:r>
        <w:t>In Barcelona, on March 3, 2026</w:t>
      </w:r>
    </w:p>
    <w:p>
      <w:r>
        <w:t>The Competition Chamber has analyzed the merger file processed in accordance with Law 15/2007, of July 3, on the Defense of Competition, regarding the economic concentration operation consisting of the acquisition of joint control by some funds managed and/or advised by subsidiaries indirectly and wholly owned by Apollo Global Management, Inc (AGM and, together with all subsidiaries indirectly owned by AGM that manage the investment funds, APOLLO, and the investment funds managed by affiliates of Apollo, the APOLLO FUNDS), an alternative asset management company, and the company Tega Industries Limited (TEGA) of the Molycop group (MOLYCOP), dedicated to the manufacture and distribution of grinding media and products for use in the mining industry, and belonging, in turn, to the investment company American Industrial Partners Holdings LLC. In accordance with the report and proposal submitted by the Directorate of Competition, the Competition Chamber has resolved, applying Article 57.2.a) of the aforementioned Law 15/2007, of July 3, to authorize the aforementioned concentration operation.</w:t>
      </w:r>
    </w:p>
    <w:p>
      <w:r>
        <w:t>Likewise, in accordance with the principle of self-assessment, as set out in recital 21 of Council Regulation 139/2004, of January 20, 2004, on the control of concentrations between companies and as established in the Commission Communication on restrictions directly linked to the execution of a concentration and necessary for that purpose (2005/C 56/03), it is up to the companies involved to determine to what extent in a concentration operation their agreements are ancillary to it. The agreement of the proposed concentration operation includes a non-compete and non-solicitation clause for a period of [CONFIDENTIAL], as well as a confidentiality clause for a period of [CONFIDENTIAL]. All of this is in accordance with what is indicated in the aforementioned report proposal from the Directorate of Competition.</w:t>
      </w:r>
    </w:p>
    <w:p>
      <w: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