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https://www.cnmc.es/expedientes/c166226</w:t>
      </w:r>
    </w:p>
    <w:p>
      <w:r>
        <w:t>Pages translated : 1</w:t>
      </w:r>
    </w:p>
    <w:p/>
    <w:p>
      <w:r>
        <w:rPr>
          <w:b/>
        </w:rPr>
        <w:t>[Pages 1–1]</w:t>
      </w:r>
    </w:p>
    <w:p>
      <w:r>
        <w:t xml:space="preserve">C/1662/26  </w:t>
        <w:br/>
        <w:t xml:space="preserve">CEREALIS / CEREALTO PASTA VB3  </w:t>
        <w:br/>
        <w:t xml:space="preserve">RESOLUTION  </w:t>
        <w:br/>
        <w:t xml:space="preserve">FILE CEREALIS / CEREALTO PASTA VB3  </w:t>
        <w:br/>
        <w:t xml:space="preserve">(C/1662/26)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March 25, 2026</w:t>
      </w:r>
    </w:p>
    <w:p>
      <w:r>
        <w:t>The Competition Chamber has analyzed the concentration file processed in accordance with Law 15/2007, of July 3, on the Defense of Competition, regarding the economic concentration operation consisting of the acquisition of exclusive control over the dry pasta business of CEREALTO PASTA VB3, S.L.U. (CEREALTO PASTA) by CEREALIS PRODUTOS ALIMENTARES, S.A. (CEREALIS). In accordance with the report and proposal submitted by the Directorate of Competition, the Competition Chamber has resolved, under the application of Article 57.2.a) of the aforementioned Law 15/2007, of July 3,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