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https://www.cnmc.es/expedientes/c166326</w:t>
      </w:r>
    </w:p>
    <w:p>
      <w:r>
        <w:t>Pages translated : 1</w:t>
      </w:r>
    </w:p>
    <w:p/>
    <w:p>
      <w:r>
        <w:rPr>
          <w:b/>
        </w:rPr>
        <w:t>[Pages 1–1]</w:t>
      </w:r>
    </w:p>
    <w:p>
      <w:r>
        <w:t xml:space="preserve">C/1663/26  </w:t>
        <w:br/>
        <w:t xml:space="preserve">BUENAVISTA/INSTITUTO BERNABÉU  </w:t>
        <w:br/>
        <w:t xml:space="preserve">RESOLUTION  </w:t>
        <w:br/>
        <w:t xml:space="preserve">FILE BUENAVISTA / INSTITUTO BERNABÉU  </w:t>
        <w:br/>
        <w:t xml:space="preserve">(C/1663/26)  </w:t>
        <w:br/>
        <w:t>COUNCIL. COMPETITION CHAMBER</w:t>
      </w:r>
    </w:p>
    <w:p>
      <w:r>
        <w:t xml:space="preserve">President  </w:t>
        <w:br/>
        <w:t>Ms. Cani Fernández Vicién</w:t>
      </w:r>
    </w:p>
    <w:p>
      <w:r>
        <w:t xml:space="preserve">Councilors  </w:t>
        <w:br/>
        <w:t xml:space="preserve">Mr. Rafael Iturriaga Nieva  </w:t>
        <w:br/>
        <w:t xml:space="preserve">Mr. Pere Soler Campins  </w:t>
        <w:br/>
        <w:t>Ms. María Vidales Picazo</w:t>
      </w:r>
    </w:p>
    <w:p>
      <w:r>
        <w:t xml:space="preserve">Secretary of the Council  </w:t>
        <w:br/>
        <w:t>Mr. Miguel Bordiu Garcia-Ovies</w:t>
      </w:r>
    </w:p>
    <w:p>
      <w:r>
        <w:t>In Madrid, on April 8, 2026</w:t>
      </w:r>
    </w:p>
    <w:p>
      <w:r>
        <w:t>The Competition Chamber has analyzed the merger file processed in accordance with Law 15/2007, of July 3, on the Defense of Competition, regarding the economic concentration operation consisting of the acquisition, by Buenavista Equity Partners, S.L. (BUENAVISTA), through its subsidiary Laka Life Group, S.L. (Laka Life), of exclusive control over Instituto Bernabéu, S.L.U., its wholly-owned subsidiaries1 and Namsomara, S.L. (BERNABÉU). In accordance with the report and proposal submitted by the Directorate of Competition, the Competition Chamber has resolved, under Article 57.2.a) of the aforementioned Law 15/2007, of July 3, to authorize the said concentration operation.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p>
      <w:r>
        <w:t xml:space="preserve">1 Instituto Bernabéu Madrid, S.L.U., Instituto Bernabéu Cartagena, S.L.U., Instituto Bernabéu Albacete, S.L.U., Instituto Bernabéu Palma de Mallorca, S.L.U., Genesi, S.R.L. and Ramasomán Italia, S.R.L.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