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https://www.cnmc.es/expedientes/c166726</w:t>
      </w:r>
    </w:p>
    <w:p>
      <w:r>
        <w:t>Pages translated : 2</w:t>
      </w:r>
    </w:p>
    <w:p/>
    <w:p>
      <w:r>
        <w:rPr>
          <w:b/>
        </w:rPr>
        <w:t>[Pages 1–2]</w:t>
      </w:r>
    </w:p>
    <w:p>
      <w:r>
        <w:t xml:space="preserve">C/1667/26  </w:t>
        <w:br/>
        <w:t xml:space="preserve">MERCADONA/ LOGIFRUIT  </w:t>
        <w:br/>
        <w:t xml:space="preserve">RESOLUTION  </w:t>
        <w:br/>
        <w:t xml:space="preserve">FILE MERCADONA / LOGIFRUIT  </w:t>
        <w:br/>
        <w:t xml:space="preserve">(C/1667/26)  </w:t>
        <w:br/>
        <w:t>COUNCIL. COMPETITION CHAMBER</w:t>
      </w:r>
    </w:p>
    <w:p>
      <w:r>
        <w:t xml:space="preserve">President  </w:t>
        <w:br/>
        <w:t>Ms. Cani Fernández Vicién</w:t>
      </w:r>
    </w:p>
    <w:p>
      <w:r>
        <w:t xml:space="preserve">Councilors  </w:t>
        <w:br/>
        <w:t xml:space="preserve">Mr. Rafael Iturriaga Nieva  </w:t>
        <w:br/>
        <w:t xml:space="preserve">Mr. Pere Soler Campins  </w:t>
        <w:br/>
        <w:t>Ms. María Vidales Picazo</w:t>
      </w:r>
    </w:p>
    <w:p>
      <w:r>
        <w:t xml:space="preserve">Secretary of the Council  </w:t>
        <w:br/>
        <w:t>Mr. Miguel Bordiu Garcia-Ovies</w:t>
      </w:r>
    </w:p>
    <w:p>
      <w:r>
        <w:t>In Madrid, on April 28, 2026</w:t>
      </w:r>
    </w:p>
    <w:p>
      <w:r>
        <w:t>The Competition Chamber has analyzed the concentration file processed in accordance with Law 15/2007, of July 3, on the Defense of Competition, regarding the economic concentration operation consisting of the acquisition by Mercadona, S.A. (MERCADONA), of exclusive control over Logifruit Iberia, S.L.U. and its 100% owned Portuguese subsidiary, Logienvases Soluções de Embalagens e Logistica, Unipessoal Lda. (Logienvases) (both, LOGIFRUIT). In accordance with the report and proposal submitted by the Directorate of Competition, the Competition Chamber has resolved, applying Article 57.2.a) of the aforementioned Law 15/2007, of July 3, to authorize the aforementioned concentration operation.</w:t>
      </w:r>
    </w:p>
    <w:p>
      <w:r>
        <w:t>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implementation of a concentration and necessary for that purpose (2005/C 56/03), it is up to the companies involved to determine to what extent in a concentration operation their agreements are ancillary to it. All of this in accordance with what is indicated in the aforementioned report proposal of the Directorate of Competition.</w:t>
      </w:r>
    </w:p>
    <w:p>
      <w:r>
        <w:t xml:space="preserve">National Commission of Markets and Competition 1 of 2  </w:t>
        <w:br/>
        <w:t xml:space="preserve">C/ Alcalá, 47 – 28014 Madrid - C/ Bolivia, 56 – 08018 Barcelona  </w:t>
        <w:br/>
        <w:t>www.cnmc.es</w:t>
      </w:r>
    </w:p>
    <w:p>
      <w:r>
        <w:t xml:space="preserve">C/1667/26  </w:t>
        <w:br/>
        <w:t xml:space="preserve">MERCADONA/ LOGIFRUIT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