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https://www.cnmc.es/expedientes/c167026</w:t>
      </w:r>
    </w:p>
    <w:p>
      <w:r>
        <w:t>Pages translated : 1</w:t>
      </w:r>
    </w:p>
    <w:p/>
    <w:p>
      <w:r>
        <w:rPr>
          <w:b/>
        </w:rPr>
        <w:t>[Pages 1–1]</w:t>
      </w:r>
    </w:p>
    <w:p>
      <w:r>
        <w:t xml:space="preserve">C/1670/26  </w:t>
        <w:br/>
        <w:t xml:space="preserve">AD INTERGRUPO DE PIEZAS / REGUEIRA  </w:t>
        <w:br/>
        <w:t xml:space="preserve">RESOLUTION  </w:t>
        <w:br/>
        <w:t xml:space="preserve">FILE AD INTERGRUPO DE PIEZAS / REGUEIRA  </w:t>
        <w:br/>
        <w:t xml:space="preserve">(C/1670/26)  </w:t>
        <w:br/>
        <w:t xml:space="preserve">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  </w:t>
        <w:br/>
        <w:t xml:space="preserve">This Resolution shall be communicated to the Competition Directorate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