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https://www.cnmc.es/expedientes/c167126</w:t>
      </w:r>
    </w:p>
    <w:p>
      <w:r>
        <w:t>Pages translated : 2</w:t>
      </w:r>
    </w:p>
    <w:p/>
    <w:p>
      <w:r>
        <w:rPr>
          <w:b/>
        </w:rPr>
        <w:t>[Pages 1–2]</w:t>
      </w:r>
    </w:p>
    <w:p>
      <w:r>
        <w:t xml:space="preserve">C/1671/26  </w:t>
        <w:br/>
        <w:t xml:space="preserve">NEX TYRES / ACTIVOS DONTYRE  </w:t>
        <w:br/>
        <w:t xml:space="preserve">RESOLUTION  </w:t>
        <w:br/>
        <w:t xml:space="preserve">FILE NEX TYRES / ACTIVOS DONTYRE  </w:t>
        <w:br/>
        <w:t xml:space="preserve">(C/1671/26)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Madrid, on May 11, 2026</w:t>
      </w:r>
    </w:p>
    <w:p>
      <w:r>
        <w:t>The Competition Chamber has analyzed the concentration file processed in accordance with Law 15/2007, of July 3, on the Defense of Competition, regarding the economic concentration operation consisting of the acquisition by Nex Tyres, S.L. (NEX), a company ultimately controlled by the Michelin Group, of exclusive control over the assets of Dontyre, S.L. (DT) that allow it to operate its wholesale replacement tire distribution business. In accordance with the report and proposal submitted by the Directorate of Competition, the Competition Chamber has resolved, applying Article 57.2.a) of the aforementioned Law 15/2007, of July 3, to authorize the said concentration operation.</w:t>
      </w:r>
    </w:p>
    <w:p>
      <w:r>
        <w:t>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w:t>
      </w:r>
    </w:p>
    <w:p>
      <w:r>
        <w:t>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