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https://www.cnmc.es/expedientes/c167226</w:t>
      </w:r>
    </w:p>
    <w:p>
      <w:r>
        <w:t>Pages translated : 1</w:t>
      </w:r>
    </w:p>
    <w:p/>
    <w:p>
      <w:r>
        <w:rPr>
          <w:b/>
        </w:rPr>
        <w:t>[Pages 1–1]</w:t>
      </w:r>
    </w:p>
    <w:p>
      <w:r>
        <w:t xml:space="preserve">C/1672/26  </w:t>
        <w:br/>
        <w:t xml:space="preserve">ENGIE / LOOP ELECTRICIDAD  </w:t>
        <w:br/>
        <w:t xml:space="preserve">RESOLUTION  </w:t>
        <w:br/>
        <w:t xml:space="preserve">FILE ENGIE / LOOP ELECTRICIDAD  </w:t>
        <w:br/>
        <w:t xml:space="preserve">(C/1672/26)  </w:t>
        <w:br/>
        <w:t xml:space="preserve">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w:t>
        <w:br/>
        <w:t xml:space="preserve">This Resolution shall be communicated to the Directorate of Competition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