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https://www.cnmc.es/expedientes/c167326</w:t>
      </w:r>
    </w:p>
    <w:p>
      <w:r>
        <w:t>Pages translated : 1</w:t>
      </w:r>
    </w:p>
    <w:p/>
    <w:p>
      <w:r>
        <w:rPr>
          <w:b/>
        </w:rPr>
        <w:t>[Pages 1–1]</w:t>
      </w:r>
    </w:p>
    <w:p>
      <w:r>
        <w:t xml:space="preserve">C/1673/26  </w:t>
        <w:br/>
        <w:t xml:space="preserve">DUBAG GROUP/ JTEKT EUROPE  </w:t>
        <w:br/>
        <w:t xml:space="preserve">RESOLUTION  </w:t>
        <w:br/>
        <w:t xml:space="preserve">FILE DUBAG GROUP/ JTEKT EUROPE  </w:t>
        <w:br/>
        <w:t>(C/1673/26)</w:t>
      </w:r>
    </w:p>
    <w:p>
      <w:r>
        <w:t>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w:t>
      </w:r>
    </w:p>
    <w:p>
      <w:r>
        <w:t>This Resolution shall be communicated to the Directorate of Competition of the National Commission on Markets and Competition and notified to the interested parties, informing them that it concludes the administrative process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