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https://www.cnmc.es/expedientes/c167926</w:t>
      </w:r>
    </w:p>
    <w:p>
      <w:r>
        <w:t>Pages translated : 1</w:t>
      </w:r>
    </w:p>
    <w:p/>
    <w:p>
      <w:r>
        <w:rPr>
          <w:b/>
        </w:rPr>
        <w:t>[Pages 1–1]</w:t>
      </w:r>
    </w:p>
    <w:p>
      <w:r>
        <w:t xml:space="preserve">C/1679/26  </w:t>
        <w:br/>
        <w:t xml:space="preserve">ARISTON / GRUPO RIELLO  </w:t>
        <w:br/>
        <w:t xml:space="preserve">RESOLUTION  </w:t>
        <w:br/>
        <w:t xml:space="preserve">FILE ARISTON / GRUPO RIELLO  </w:t>
        <w:br/>
        <w:t xml:space="preserve">(C/1679/26)  </w:t>
        <w:br/>
        <w:t>COUNCIL. COMPETITION CHAMBER</w:t>
      </w:r>
    </w:p>
    <w:p>
      <w:r>
        <w:t xml:space="preserve">President  </w:t>
        <w:br/>
        <w:t>Ms. Cani Fernández Vicién</w:t>
      </w:r>
    </w:p>
    <w:p>
      <w:r>
        <w:t xml:space="preserve">Counselors  </w:t>
        <w:br/>
        <w:t xml:space="preserve">Mr. Rafael Iturriaga Nieva  </w:t>
        <w:br/>
        <w:t xml:space="preserve">Mr. Pere Soler Campins  </w:t>
        <w:br/>
        <w:t>Ms. María Vidales Picazo</w:t>
      </w:r>
    </w:p>
    <w:p>
      <w:r>
        <w:t xml:space="preserve">Secretary of the Council  </w:t>
        <w:br/>
        <w:t>Mr. Miguel Bordiu Garcia-Ovies</w:t>
      </w:r>
    </w:p>
    <w:p>
      <w:r>
        <w:t>In Madrid, on June 25, 2026</w:t>
      </w:r>
    </w:p>
    <w:p>
      <w:r>
        <w:t>The Competition Chamber has analyzed the merger file processed in accordance with Law 15/2007, of July 3, on the Defense of Competition, regarding the economic concentration operation consisting of the acquisition by Ariston Holding N.V. (ARISTON), of exclusive control over GRUPO RIELLO1 (RIELLO). In accordance with the report and proposal submitted by the Competition Directorate, the Competition Chamber has resolved, in application of Article 57.2.a) of the aforementioned Law 15/2007, of July 3, to authorize the aforementioned concentration operation.</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a period of two months from the day following its notification.</w:t>
      </w:r>
    </w:p>
    <w:p>
      <w:r>
        <w:t xml:space="preserve">1 Riello Group S.p.A., Riello America LLC and their respective subsidiaries.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