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https://www.cnmc.es/expedientes/c168126</w:t>
      </w:r>
    </w:p>
    <w:p>
      <w:r>
        <w:t>Pages translated : 1</w:t>
      </w:r>
    </w:p>
    <w:p/>
    <w:p>
      <w:r>
        <w:rPr>
          <w:b/>
        </w:rPr>
        <w:t>[Pages 1–1]</w:t>
      </w:r>
    </w:p>
    <w:p>
      <w:r>
        <w:t xml:space="preserve">C/1681/26  </w:t>
        <w:br/>
        <w:t xml:space="preserve">EVERWOOD / TUDEFRIGO  </w:t>
        <w:br/>
        <w:t xml:space="preserve">RESOLUTION  </w:t>
        <w:br/>
        <w:t xml:space="preserve">FILE EVERWOOD / TUDEFRIGO  </w:t>
        <w:br/>
        <w:t xml:space="preserve">(C/1681/26)  </w:t>
        <w:br/>
        <w:t xml:space="preserve">In accordance with the report and proposal submitted by the Directorate of Competition, the Secretary, by delegation of the Council, has resolved, pursuant to Article 57.2.a) of Law 15/2007, of July 3, on the Defense of Competition, to authorize the concentration operation of the referenced file.  </w:t>
        <w:br/>
        <w:t xml:space="preserve">This Resolution shall be communicated to the Directorate of Competition of the National Commission of Markets and Competition and notified to the interested parties, informing them that it concludes the administrative process and that a contentious-administrative appeal can be filed against it before the National Court, within two months from the day following its notification.  </w:t>
        <w:br/>
        <w:t xml:space="preserve">National Commission of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