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https://www.cnmc.es/expedientes/c168826</w:t>
      </w:r>
    </w:p>
    <w:p>
      <w:r>
        <w:t>Pages translated : 2</w:t>
      </w:r>
    </w:p>
    <w:p/>
    <w:p>
      <w:r>
        <w:rPr>
          <w:b/>
        </w:rPr>
        <w:t>[Pages 1–2]</w:t>
      </w:r>
    </w:p>
    <w:p>
      <w:r>
        <w:t xml:space="preserve">C/1688/26  </w:t>
        <w:br/>
        <w:t xml:space="preserve">VETPARTNERS / MEDIEVET IBERIA  </w:t>
        <w:br/>
        <w:t xml:space="preserve">RESOLUTION  </w:t>
        <w:br/>
        <w:t xml:space="preserve">FILE VETPARTNERS / MEDIEVET IBERIA  </w:t>
        <w:br/>
        <w:t xml:space="preserve">(C/1688/26)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Barcelona, on July 1, 2026</w:t>
      </w:r>
    </w:p>
    <w:p>
      <w:r>
        <w:t>The Competition Chamber has analyzed the concentration file processed in accordance with Law 15/2007, of July 3, on the Defense of Competition, regarding the economic concentration operation consisting of the acquisition by VetPartners España, S.L.U., belonging to the VetPartners Group (VETPARTNERS), of exclusive control over Medivet Iberia S.L.U. (MEDIVET IBERIA). In accordance with the report and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w:t>
      </w:r>
    </w:p>
    <w:p>
      <w:r>
        <w:t xml:space="preserve">National Commission of Markets and Competition 1 of 2  </w:t>
        <w:br/>
        <w:t xml:space="preserve">C/ Alcalá, 47 – 28014 Madrid - C/ Bolivia, 56 – 08018 Barcelona  </w:t>
        <w:br/>
        <w:t>www.cnmc.es</w:t>
      </w:r>
    </w:p>
    <w:p>
      <w:r>
        <w:t xml:space="preserve">C/1688/26  </w:t>
        <w:br/>
        <w:t xml:space="preserve">VETPARTNERS / MEDIEVET IBERIA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