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https://www.cnmc.es/expedientes/c169126</w:t>
      </w:r>
    </w:p>
    <w:p>
      <w:r>
        <w:t>Pages translated : 1</w:t>
      </w:r>
    </w:p>
    <w:p/>
    <w:p>
      <w:r>
        <w:rPr>
          <w:b/>
        </w:rPr>
        <w:t>[Pages 1–1]</w:t>
      </w:r>
    </w:p>
    <w:p>
      <w:r>
        <w:t xml:space="preserve">C/1691/26  </w:t>
        <w:br/>
        <w:t xml:space="preserve">GLOBAL JAPUDI / INDRA BUSINESS CONSULTING  </w:t>
        <w:br/>
        <w:t xml:space="preserve">RESOLUTION  </w:t>
        <w:br/>
        <w:t xml:space="preserve">FILE GLOBAL JAPUDI / INDRA BUSINESS CONSULTING  </w:t>
        <w:br/>
        <w:t>(C/1691/26)</w:t>
      </w:r>
    </w:p>
    <w:p>
      <w:r>
        <w:t>In accordance with the report and proposal submitted by the Competition Directorate, the Secretary, by delegation of the Council, has resolved, pursuant to Article 57.2.a) of Law 15/2007, of July 3, on the Defense of Competition, to authorize the concentration operation of the referenced file.</w:t>
      </w:r>
    </w:p>
    <w:p>
      <w:r>
        <w:t xml:space="preserve">This Resolution shall be communicated to the Competition Directorate of the National Commission on Markets and Competition and notified to the interested parties,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