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https://www.cnmc.es/expedientes/c169226</w:t>
      </w:r>
    </w:p>
    <w:p>
      <w:r>
        <w:t>Pages translated : 1</w:t>
      </w:r>
    </w:p>
    <w:p/>
    <w:p>
      <w:r>
        <w:rPr>
          <w:b/>
        </w:rPr>
        <w:t>[Pages 1–1]</w:t>
      </w:r>
    </w:p>
    <w:p>
      <w:r>
        <w:t>C/1692/26 ATHLOS / CARTERA SIDECU RESOLUTION FILE ATHLOS / CARTERA SIDECU (C/1692/26) 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Communicate this Resolution to the Directorate of Competition of the National Commission of Markets and Competition and notify the interested parties, informing them that this concludes the administrative process and that a contentious-administrative appeal may be filed against it before the National Court, within two months from the day following its notification. National Commission of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