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https://www.cnmc.es/expedientes/c169526</w:t>
      </w:r>
    </w:p>
    <w:p>
      <w:r>
        <w:t>Pages translated : 1</w:t>
      </w:r>
    </w:p>
    <w:p/>
    <w:p>
      <w:r>
        <w:rPr>
          <w:b/>
        </w:rPr>
        <w:t>[Pages 1–1]</w:t>
      </w:r>
    </w:p>
    <w:p>
      <w:r>
        <w:t xml:space="preserve">C/1695/26  </w:t>
        <w:br/>
        <w:t xml:space="preserve">MUTUAMAD MOBILITY / REYNASA  </w:t>
        <w:br/>
        <w:t xml:space="preserve">RESOLUTION  </w:t>
        <w:br/>
        <w:t xml:space="preserve">FILE MUTUAMAD MOBILITY / REYNASA  </w:t>
        <w:br/>
        <w:t>(C/1695/26)</w:t>
      </w:r>
    </w:p>
    <w:p>
      <w:r>
        <w:t>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w:t>
      </w:r>
    </w:p>
    <w:p>
      <w:r>
        <w:t xml:space="preserve">This Resolution shall be communicated to the Competition Directorate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