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https://www.autoritedelaconcurrence.fr/fr/decision/concernant-lexecution-de-la-decision-ndeg-03-d-07-du-9-mars-2003-dans-le-secteur-de-la</w:t>
      </w:r>
    </w:p>
    <w:p>
      <w:r>
        <w:t>Pages translated : 6</w:t>
      </w:r>
    </w:p>
    <w:p/>
    <w:p>
      <w:r>
        <w:rPr>
          <w:b/>
        </w:rPr>
        <w:t>[Pages 1–3]</w:t>
      </w:r>
    </w:p>
    <w:p>
      <w:r>
        <w:t xml:space="preserve">FRENCH REPUBLIC  </w:t>
        <w:br/>
        <w:t xml:space="preserve">Decision No. 05-D-09 of March 14, 2005  </w:t>
        <w:br/>
        <w:t xml:space="preserve">concerning the execution of decision No. 03-D-07 of March 9, 2003  </w:t>
        <w:br/>
        <w:t xml:space="preserve">in the field of road signage  </w:t>
        <w:br/>
        <w:t xml:space="preserve">The Competition Council, (Permanent Commission),  </w:t>
        <w:br/>
        <w:t xml:space="preserve">Having regard to the letter registered on December 29, 2003 under number 03/0096 R, by which the minister referred to the Competition Council the non-compliance with the injunction issued by the Council in its decision No. 03-D-07 of February 4, 2003 concerning practices identified during the awarding of contracts for the purchase of vertical road signage panels by local authorities;  </w:t>
        <w:br/>
        <w:t xml:space="preserve">Having regard to Book IV of the Commercial Code relating to price freedom and competition, Decree No. 86-1309 of December 29, 1986 as amended, setting the conditions for the application of Ordinance No. 86-1243 of December 1, 1986 and Decree No. 2002-689 of April 3, 2002 setting the conditions for the application of Book IV of the Commercial Code;  </w:t>
        <w:br/>
        <w:t xml:space="preserve">Having regard to the ruling of the Court of Appeal of Paris dated November 18, 2003;  </w:t>
        <w:br/>
        <w:t xml:space="preserve">Having regard to the observations presented by the Government Commissioner and those of the companies Ets Crapie, Signaux Laporte, Signaux Girod, Picardie Signalisation, Alp Signalisation, and La Signalisation Centrale;  </w:t>
        <w:br/>
        <w:t xml:space="preserve">Having regard to the other documents in the file;  </w:t>
        <w:br/>
        <w:t xml:space="preserve">The rapporteur, the general rapporteur, the Government Commissioner, and the representatives of the companies Ets Crapie, Signaux Laporte, Signaux Girod, Picardie Signalisation, Alp Signalisation, La Signalisation Centrale, Desmoules Pose, and Lacroix Signalisation, heard during the session of February 15, 2005;  </w:t>
        <w:br/>
        <w:t>Adopts the following decision:</w:t>
      </w:r>
    </w:p>
    <w:p>
      <w:r>
        <w:t xml:space="preserve">I. Findings  </w:t>
        <w:br/>
        <w:t xml:space="preserve">A. THE REFERRAL  </w:t>
        <w:br/>
        <w:t xml:space="preserve">1. By decision dated February 4, 2003, the Competition Council imposed financial penalties on the companies Ets Crapie, Signaux Laporte, Signaux Girod, Picardie Signalisation, Alp Signalisation, La Signalisation Centrale, Desmoules Pose, and Lacroix Signalisation. The decision was notified to these companies by registered letter with acknowledgment of receipt on February 6, 2003. The acknowledgments of receipt were signed on February 10 and 11, 2003.  </w:t>
        <w:br/>
        <w:t xml:space="preserve">2. This decision was accompanied by an injunction whereby the Competition Council ordered these same companies to publish the decision in the following terms: "Article 3 - Within three months from the notification of this decision, the companies (…) shall publish this decision as well as its operative part at their joint expense and in proportion to the financial penalties imposed, in an edition of the Gazette des Communes. This publication shall be preceded by the mention: 'decision No. 03-D-07 of the Competition Council concerning practices identified during the awarding of contracts for the purchase of road signage panels by local authorities'."  </w:t>
        <w:br/>
        <w:t xml:space="preserve">3. The Court of Appeal of Paris, by a ruling dated November 18, 2003, rejected the annulment appeal filed by the companies SAS Signaux Laporte and SAS Ets Crapie and thus confirmed the Council's decision in its entirety.  </w:t>
        <w:br/>
        <w:t xml:space="preserve">4. On December 24, 2003, pursuant to the provisions of Article L. 464-3 of the Commercial Code, the Minister of Economy, Finance, and Industry referred the Competition Council for non-compliance with the publication injunction.  </w:t>
        <w:br/>
        <w:t xml:space="preserve">B. THE BEHAVIOR OF THE COMPANIES  </w:t>
        <w:br/>
        <w:t xml:space="preserve">5. The deadline set by the Competition Council for the implementation of the injunction was May 11, 2003.  </w:t>
        <w:br/>
        <w:t xml:space="preserve">6. On October 29, 2003, the departmental directorate of competition, consumption, and fraud repression of Jura verified the execution of the injunction issued by the Competition Council by contacting Mr. X…, chairman of the management board of the company Signaux Girod. According to the departmental director, Mr. X… did not contest the non-compliance with the publication injunction, arguing the appeal filed against the Council's decision.  </w:t>
        <w:br/>
        <w:t xml:space="preserve">7. Appointed on September 3, 2004, the rapporteur, by letter dated September 13, 2004, requested the aforementioned companies to inform him of the actions they had taken to proceed with the publication.  </w:t>
        <w:br/>
        <w:t>8. The companies involved all, through their lawyers, provided information on the steps they had taken towards publication and acknowledged that they had not proceeded within the allotted time nor by the date of their response. Their observations indicated that the first initiatives taken towards publication dated back to October 24, 2003.</w:t>
      </w:r>
    </w:p>
    <w:p>
      <w:r>
        <w:t xml:space="preserve">9. The publication of decision No. 03-D-07 occurred on October 4, 2004, with the "Gazette des Communes" publishing decision No. 03-D-07 in its issue 37-1759, pages 194 to 204, more than one year and five months after the set deadline.  </w:t>
        <w:br/>
        <w:t xml:space="preserve">10. The report, notified on October 27, 2004, noted that all companies except Ets Crapie and Laporte seemed to have undertaken steps towards the publication of the decision prior to the appointment of the rapporteur. Ets Crapie and Laporte subsequently informed the rapporteur of new elements, establishing that they had, through their lawyer, actively participated, albeit unsuccessfully, in the efforts undertaken for the publication of the decision starting from October 31, 2003.  </w:t>
        <w:br/>
        <w:t xml:space="preserve">11. While the companies in question do not claim to have fully complied with the injunction issued to them, they do raise several arguments regarding the assessment of the seriousness of the facts attributed to them.  </w:t>
        <w:br/>
        <w:t xml:space="preserve">II. Discussion  </w:t>
        <w:br/>
        <w:t xml:space="preserve">12. Under Article L. 464-2 of the Commercial Code: "I. - The Competition Council may order the interested parties to cease anti-competitive practices within a specified period or impose specific conditions. It may impose a financial penalty applicable either immediately or in the event of non-compliance with the injunctions. The financial penalties are proportionate to the seriousness of the facts attributed, the importance of the damage caused to the economy, and the situation of the sanctioned organization or company (...). The maximum amount of the penalty is, for a company, 10% of the highest amount of worldwide turnover excluding taxes achieved during one of the fiscal years closed since the fiscal year preceding that during which the practices were implemented (...). The Competition Council may order the publication, dissemination, or display of its decision or an excerpt thereof according to the modalities it specifies. The costs are borne by the interested party. (...)".  </w:t>
        <w:br/>
        <w:t xml:space="preserve">13. Under Article L. 464-3 of the aforementioned code: "If the measures and injunctions provided for in Articles L. 464-1 and L. 464-2 are not respected, the Council may impose a financial penalty within the limits set out in Article L. 464-2."  </w:t>
        <w:br/>
        <w:t xml:space="preserve">14. Finally, under Article L. 464-7 paragraph 2: "The appeal is not suspensive. However, the first president of the Court of Appeal of Paris may order that the execution of the decision be stayed if it is likely to lead to manifestly excessive consequences or if, after its notification, facts of exceptional gravity have occurred."  </w:t>
        <w:br/>
        <w:t xml:space="preserve">15. The companies involved believe that the execution of the publication measure has been hindered due to the appeal filed against the decision of the Competition Council by some of them.  </w:t>
        <w:br/>
        <w:t>16. It follows from the aforementioned provisions of the Commercial Code that the Competition Council may sanction companies that have not complied with an injunction issued under Article L. 464-2 of the said code. Specifically, the injunction to publish the decision at the company's expense is among the injunctions provided for by the aforementioned article. An injunction consists of different elements that must all be respected.</w:t>
      </w:r>
    </w:p>
    <w:p>
      <w:r>
        <w:rPr>
          <w:b/>
        </w:rPr>
        <w:t>[Pages 4–6]</w:t>
      </w:r>
    </w:p>
    <w:p>
      <w:r>
        <w:t>However, the execution modalities set forth in a decision of the Council are an integral part of the injunction, including its execution deadline.</w:t>
      </w:r>
    </w:p>
    <w:p>
      <w:r>
        <w:t>17. Contrary to what the parties argue and as recalled in decision no. 04-D-47 of October 12, 2004, concerning the sector of prefabricated concrete staircases, the decisions of the Council are enforceable as soon as they are notified to the parties, notwithstanding the filing of an appeal before the Court of Appeal of Paris. Only a stay ordered by the first president of the Court of Appeal of Paris can suspend the enforceable nature of the decision. In the absence of requesting or obtaining such a stay, it is not up to the parties to decide when they will proceed with the execution of an injunction to which they have been condemned with a deadline to be respected.</w:t>
      </w:r>
    </w:p>
    <w:p>
      <w:r>
        <w:t>18. Furthermore, the companies involved, considering the decision of March 3, 2003, which ordered them to publish "at common expense and in proportion to the financial penalties imposed," argue that it "would have been poor management (...) to advance (the costs) without being certain of being quickly reimbursed by the other condemned companies" or that "the obligation to publish (...) did not weigh on any particular company, the Competition Council having jointly imposed this injunction against all the condemned companies."</w:t>
      </w:r>
    </w:p>
    <w:p>
      <w:r>
        <w:t>19. However, the injunction to publish "at common expense and in proportion to the financial penalties imposed" is understood as the obligation to proceed with the publication at the initiative of the most diligent party, each of the sanctioned companies being ultimately responsible for a share of the publication costs in relation to its share of the financial penalties imposed. These companies were therefore individually required to proceed with the publication notwithstanding the inaction of the other companies.</w:t>
      </w:r>
    </w:p>
    <w:p>
      <w:r>
        <w:t>A. ON THE LATE EXECUTION OF THE INJUNCTION</w:t>
      </w:r>
    </w:p>
    <w:p>
      <w:r>
        <w:t>20. Some companies contest the starting point of the publication deadline set by the rapporteur, arguing the principle of the presumption of innocence and, invoking Article 6 of the ECHR, claim that "the legal text imposing on a person to publish a decision designating them as guilty of acts while that decision is under appeal cannot be applied" as long as the decision has not become final. These companies believe that they were only required to publish from "February 18, 2004, the deadline for publication from the decision rendered by the Court."</w:t>
      </w:r>
    </w:p>
    <w:p>
      <w:r>
        <w:t>21. If, as stated, the decisions of the Council are enforceable as soon as they are notified, the parties may, however, obtain a stay of their execution when the decision "is likely to lead to manifestly excessive consequences," pursuant to Article L. 464-7 paragraph 2 of the Commercial Code. The publication does not, in itself, constitute an infringement of the presumption of innocence as long as the avenues for appeal can be exercised against the decision.</w:t>
      </w:r>
    </w:p>
    <w:p>
      <w:r>
        <w:t>22. In this case, none of the sanctioned companies filed an appeal seeking the suspension of the publication injunction. In the absence of requesting or obtaining such a stay, it is not up to the parties to decide when they will proceed with the execution of an injunction to which they have been condemned with a deadline to be respected. They also always have the option, if they deem it appropriate, to accompany the publication of a decision of the Competition Council with an indication of the existence of an ongoing appeal before the Court of Appeal of Paris.</w:t>
      </w:r>
    </w:p>
    <w:p>
      <w:r>
        <w:t>B. ON THE SANCTIONS</w:t>
      </w:r>
    </w:p>
    <w:p>
      <w:r>
        <w:t>23. It follows from the developments previously outlined that none of the companies subject to the injunction published the decision before May 11, 2003, that is, within the allotted time. The companies involved are responsible for the failure to comply with the publication injunction of the decision of March 3, 2003, due to the delay in executing the injunction. This behavior is of a certain seriousness as it is not up to the sanctioned companies to decide when they will comply with an injunction issued against them, given that a deadline has been set.</w:t>
      </w:r>
    </w:p>
    <w:p>
      <w:r>
        <w:t>24. However, it appears from the investigation that the companies became aware of the seriousness of the situation and, after September 13, 2004, reacted swiftly to execute the decision as promptly as possible and to put an end to the situation of inaction for which they were criticized.</w:t>
      </w:r>
    </w:p>
    <w:p>
      <w:r>
        <w:t>25. While it is appropriate to take into account that the pursued companies proceeded with the publication, albeit after the deadlines, it is important to note that the initial measures taken for publication were in any case too late to allow compliance with the injunction within the allotted time, that the publication occurred three weeks after the companies involved became aware of the rapporteur's investigation, that no obstacle to publication related to the choice of media was invoked, and finally, that the publication was carried out with a delay of one year and five months.</w:t>
      </w:r>
    </w:p>
    <w:p>
      <w:r>
        <w:t>26. The publication aims to inform other companies or economic operators of the existence of illegal practices and the sanction in order to dissuade them from engaging in such practices if they are tempted to do so or to encourage them to be vigilant if they are likely to be victims. Any delay in disseminating this information potentially harms the economy of the sector and, ultimately, consumers.</w:t>
      </w:r>
    </w:p>
    <w:p>
      <w:r>
        <w:t>27. Finally, it should be noted that all the pursued companies, through their lawyers, took a comparable part in the decision-making and publication process, making it impossible to isolate the behavior of one or the other.</w:t>
      </w:r>
    </w:p>
    <w:p>
      <w:r>
        <w:t>28. In 2003, the turnover excluding tax achieved by the companies involved is as follows:</w:t>
        <w:br/>
        <w:t>• Ets Crapie ………………………… 6,426,835 €</w:t>
        <w:br/>
        <w:t>• Signaux Laporte …………………. 9,341,253 €</w:t>
        <w:br/>
        <w:t>• Signaux Girod ……………………. 36,861,328 €</w:t>
        <w:br/>
        <w:t>• Picardie Signalisation …………….. 4,108,253 €</w:t>
        <w:br/>
        <w:t>• Alp Signalisation …………………. 1,949,349 €</w:t>
        <w:br/>
        <w:t>• La Signalisation Centrale …………. 2,159,583 €</w:t>
        <w:br/>
        <w:t>• Desmoules Pose ……………………. 2,173,701 €</w:t>
        <w:br/>
        <w:t>• Lacroix Signalisation ……………… 38,687,117 €</w:t>
      </w:r>
    </w:p>
    <w:p>
      <w:r>
        <w:t>29. Based on the general and individual elements previously outlined, it is appropriate to impose on these companies a fine proportional to the seriousness of the facts attributed to them and to the share of the publication cost they were required to bear, namely a sanction of €2,500 for Ets Crapie, a sanction of €3,000 for Signaux Laporte, a sanction of €9,000 for Signaux Girod, a sanction of €2,000 for Picardie Signalisation, a sanction of €2,500 for Alp Signalisation, a sanction of €2,000 for La Signalisation Centrale, a sanction of €2,000 for Desmoules Pose, and a sanction of €2,700 for Lacroix Signalisation.</w:t>
      </w:r>
    </w:p>
    <w:p>
      <w:r>
        <w:t>DECISION</w:t>
      </w:r>
    </w:p>
    <w:p>
      <w:r>
        <w:t>Article 1: It is established that the companies Ets Crapie, Signaux Laporte, Signaux Girod, Picardie Signalisation, Alp Signalisation, La Signalisation Centrale, Desmoules Pose, and Lacroix Signalisation have violated the provisions of Article L. 464-3 of the Commercial Code.</w:t>
      </w:r>
    </w:p>
    <w:p>
      <w:r>
        <w:t>Article 2: The following financial penalties are imposed:</w:t>
        <w:br/>
        <w:t>• a sanction of €2,500 for Ets Crapie;</w:t>
        <w:br/>
        <w:t>• a sanction of €3,000 for Signaux Laporte;</w:t>
        <w:br/>
        <w:t>• a sanction of €9,000 for Signaux Girod;</w:t>
        <w:br/>
        <w:t>• a sanction of €2,000 for Picardie Signalisation;</w:t>
        <w:br/>
        <w:t>• a sanction of €2,500 for Alp Signalisation;</w:t>
        <w:br/>
        <w:t>• a sanction of €2,000 for La Signalisation Centrale;</w:t>
        <w:br/>
        <w:t>• a sanction of €2,000 for Desmoules Pose;</w:t>
        <w:br/>
        <w:t>• a sanction of €2,700 for Lacroix Signalisation.</w:t>
      </w:r>
    </w:p>
    <w:p>
      <w:r>
        <w:t>Deliberated, on the oral report of Mr. Barbier, by Mr. Lasserre, president, Ms. Aubert and Perrot, Mr. Nasse, vice-presidents.</w:t>
      </w:r>
    </w:p>
    <w:p>
      <w:r>
        <w:t>The session secretary, The president,</w:t>
        <w:br/>
        <w:t>Marie-Pierre Binard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