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https://www.autoritedelaconcurrence.fr/fr/decision/concernant-lexecution-de-la-decision-ndeg-87-d-53-du-1er-decembre-1987-relative-la</w:t>
      </w:r>
    </w:p>
    <w:p>
      <w:r>
        <w:t>Pages translated : 6</w:t>
      </w:r>
    </w:p>
    <w:p/>
    <w:p>
      <w:r>
        <w:rPr>
          <w:b/>
        </w:rPr>
        <w:t>[Pages 1–3]</w:t>
      </w:r>
    </w:p>
    <w:p>
      <w:r>
        <w:t>FRENCH REPUBLIC</w:t>
        <w:br/>
        <w:t>Decision No. 92-D-06 of January 21, 1992</w:t>
        <w:br/>
        <w:t>concerning the execution of Decision No. 87-D-53 of December 1, 1987</w:t>
        <w:br/>
        <w:t>relating to the state of competition in the field of architects' fees</w:t>
        <w:br/>
        <w:t>The Competition Council,</w:t>
        <w:br/>
        <w:t>Having regard to the letter, registered on December 8, 1989 under number R 3, by which the Minister of State, Minister of Economy, Finance and Budget, referred to the Competition Council the conditions of execution by the National Union of French Architects (U.N.S.F.A.) of the injunction contained in Decision No. 87-D-53 of the Council;</w:t>
        <w:br/>
        <w:t>Having regard to Ordinance No. 86-1243 of December 1, 1986 relating to price freedom and competition, as amended, and in particular its Article 14, together with Decree No. 86-1309 of December 29, 1986, as amended, taken for its application;</w:t>
        <w:br/>
        <w:t>Having regard to Decision No. 87-D-53 dated December 1, 1987 of the Competition Council relating to the state of competition in the field of architects' fees;</w:t>
        <w:br/>
        <w:t>Having regard to the letter from the National Union of French Architects dated April 18, 1988;</w:t>
        <w:br/>
        <w:t>Having regard to the observations presented by the National Union of French Architects;</w:t>
        <w:br/>
        <w:t>Having regard to the observations of the Government Commissioner;</w:t>
        <w:br/>
        <w:t>Having regard to the other documents in the file;</w:t>
        <w:br/>
        <w:t>The rapporteur, the general rapporteur, the Government Commissioner, and the representatives of the National Union of French Architects heard;</w:t>
        <w:br/>
        <w:t>Adopts the decision based on the findings (I) and the reasons (II) set out below;</w:t>
        <w:br/>
        <w:t>I. - FINDINGS</w:t>
        <w:br/>
        <w:t>A. - The injunction addressed to the National Union of French Architects</w:t>
        <w:br/>
        <w:t>Following the referral, in 1986, by the Minister of State, Minister of Economy, Finance and Privatization, the Competition Council found, by the aforementioned decision of December 1, 1987, that the National Union of French Architects (hereinafter U.N.S.F.A.) established in 1982 standard contracts dedicated to different categories of construction (individual houses, subdivisions...); each standard contract consists of two booklets, one dedicated to general clauses relating to the rights and obligations of the parties, to the definition of the mission and to the establishment of remuneration, the other to special clauses including the terms of the agreement.</w:t>
        <w:br/>
        <w:t>The booklet dedicated to general clauses defines percentage fees as the product of the tax-exclusive amount of the work by a coefficient itself determined by the product of three sub-coefficients. For private residences, for example, the first sub-coefficient, which represents the importance of the mission, ranges from 0.35 to 1.30 depending on the service requested. The second reflects the complexity criterion of the work on a graphical table where a range segment, between 0.85 and 1.47, corresponds to a type of work; it is adjustable according to a certain number of difficulties. The third depends on the importance of the work: it is given by cost brackets and is decreasing.</w:t>
        <w:br/>
        <w:t>For reimbursable fees, it is notably indicated that the total of hourly fees, social charges, overheads, and profit is, 'in the absence of a contrary agreement', calculated by multiplying by 2.5 the sum of the first two items and that in January 1982 'the fee is commonly estimated at 330 to 590 F H.T.' per hour.</w:t>
        <w:br/>
        <w:t>For lump-sum fees, the booklet recommends referring to the calculation methods presented for the other two types of fees.</w:t>
        <w:br/>
        <w:t>The booklet dedicated to general clauses also addresses mission expenses and late payment interest; it recommends in these two matters to use fixed increases.</w:t>
        <w:br/>
        <w:t>In the special clauses booklet, a chapter is reserved for remuneration.</w:t>
        <w:br/>
        <w:t>The Competition Council considered, on the one hand, that these provisions, both from the general clauses booklets and the special clauses booklets, have a marked normative character, particularly those concerning costs and late payment interest, and on the other hand, that the space reserved for derogatory clauses in the document signed by the client makes them appear as already discussed when the question of fees is addressed and consequently reinforces the incentive nature of the standard contract.</w:t>
        <w:br/>
        <w:t>It noted that the calculation methods recommended in the general clauses booklet of the U.N.S.F.A. do not take into account the actual costs of the services provided by architects, the differences in size, organization, and profitability of their firms. These calculation methods cannot therefore be considered as studies that help architects, particularly those who do not practice analytical accounting, to establish a management policy based on price calculation and taking into account the actual costs of their activity.</w:t>
        <w:br/>
        <w:t>Finally, the council ordered the U.N.S.F.A. to modify as follows, within a period of six months from the notification of its decision, the provisions of the standard contracts it publishes (art. 3 of the decision):</w:t>
        <w:br/>
        <w:t>'1° In the general clauses booklet:</w:t>
        <w:br/>
        <w:t>'a) Place at the beginning of the chapter dedicated to remuneration the indication that the fee is freely set between the project owner and the architect;</w:t>
        <w:br/>
        <w:t>'b) In the clauses relating to reimbursable fees, remove the multiplier coefficient as well as all numerical references to the amount of the hourly fee;</w:t>
        <w:br/>
        <w:t>'c) In the clauses relating to percentage fees, remove the formula for determining the fee and all numerical indications other than those concerning the importance of the mission and the complexity of the operation;</w:t>
        <w:br/>
        <w:t>'d) In the clauses relating to costs and late payment interest, remove any numerical reference.'</w:t>
        <w:br/>
        <w:t>'2° In the special clauses booklet, reiterate in the chapter dedicated to remuneration, the principle of free discussion of the fee between the architect and their client.'</w:t>
        <w:br/>
        <w:t>The council has furthermore given the U.N.S.F.A. a period of eight months to communicate the provisions established and disseminated in application of its decision (art. 4).</w:t>
        <w:br/>
        <w:t>B. - The new contracts</w:t>
        <w:br/>
        <w:t>The U.N.S.F.A., without having expressly repealed the clauses condemned by the council, submitted to the Minister of Economy, Finance and Privatization the new provisions it intended to publish for the standard contracts dedicated to new constructions or related to interventions on existing structures.</w:t>
        <w:br/>
        <w:t>The modifications made to the previous wording are as follows:</w:t>
        <w:br/>
        <w:t>a) General clauses booklet:</w:t>
        <w:br/>
        <w:t>1. In the chapter relating to the remuneration of the architect, it is first stipulated that 'the project owner remunerates the architect for the mission entrusted to him', that this 'remuneration - in the form of a fee - is freely set between the project owner and the architect based on the content and scope of the mission, and the complexity of the importance of the operation'; this provision is reiterated for each remuneration modality, lump-sum, percentage, reimbursable.</w:t>
        <w:br/>
        <w:t>2. In the clauses relating to reimbursable fees, it is indicated that these fees include: the remuneration for the time spent by each of the participants, including the principal, all social charges of any kind related to said remuneration, the share of common expenses to be allocated, the profit of the firm, the reimbursement of expenses specific to the operation. The architect indicates that the sum of the first four elements (remuneration, social charges, share of common expenses, profit of the firm) is obtained by 'multiplying the sum of the first two by the firm's coefficient which, for the year 198., is...'. It is finally indicated that the 'fee of the architect is... F excluding taxes per hour, in the month of... of 198., revalued according to the Engineering index', which means that the architect sets the amount of this fee themselves.</w:t>
        <w:br/>
        <w:t>3. In the clauses relating to percentage fees, it is stipulated that this remuneration is defined as the product of the tax-exclusive amount of the work by a percentage called 'fee rate', 'freely set between the project owner and the architect'. They 'may' use the method defining this rate as the product of four coefficients: the first, specific to the firm (coefficient 'k'), is determined by the architect according to the reputation or particular organization of their office; the second (coefficient 'm'), which represents the importance of the mission, ranges from 0.80 to 1.20 depending on the services provided; the third (coefficient 'n'), relating to the complexity of the work, is presented in the form of</w:t>
      </w:r>
    </w:p>
    <w:p>
      <w:r>
        <w:rPr>
          <w:b/>
        </w:rPr>
        <w:t>[Pages 4–6]</w:t>
      </w:r>
    </w:p>
    <w:p>
      <w:r>
        <w:t>of a graphical table where each segment of the range corresponds to a type of work; the fourth (coefficient 'i'), which depends on the importance of the work, is given by cost brackets and is decreasing.</w:t>
      </w:r>
    </w:p>
    <w:p>
      <w:r>
        <w:t>4. In the clauses relating to fees and late payment interest, it is specified that the amounts representing fees that are paid late by the project owner are 'automatically increased'. For fees on a reimbursable and lump-sum basis, specific mission expenses are calculated according to the terms agreed with the project owner and, in the absence of such an agreement, a number of provisions mention the actual expenses to be accounted for and the methods of increasing these expenses. Thus, travel expenses are established, in the absence of determination of actual expenses, 'based on the scale of the general tax department increased' by a percentage agreed upon between the signatories of the contract.</w:t>
      </w:r>
    </w:p>
    <w:p>
      <w:r>
        <w:t>b) Special clauses booklet: At the beginning of the chapter dedicated to remuneration, the phrase appears: 'The remuneration, freely discussed between the project owner and the architect, is set as follows: (...)'. This mention is followed, regarding percentage remuneration, by the enumeration of the parameters whose definition is provided by the general clauses booklet.</w:t>
      </w:r>
    </w:p>
    <w:p>
      <w:r>
        <w:t>II. - BASED ON THE ABOVE FINDINGS, THE COUNCIL Considering that the ministerial referral aims to examine the conditions of execution by the U.N.S.F.A. of decision no. 87-D-53 of December 1, 1987, which has become final; that this referral involves the examination of all the stipulations of the new standard contracts developed by the union, without the Competition Council being bound by the observations of the Minister of Economy, Finance and Budget; that if, in its compliance review, the council cannot take into account or impose new conditions, it is its responsibility to investigate whether the provisions taken by this professional organization correspond to the execution of the injunction within the deadlines set by it and in particular whether the practice of providing architects with numerical data of a directive nature has been terminated;</w:t>
      </w:r>
    </w:p>
    <w:p>
      <w:r>
        <w:t>Considering that in any case the U.N.S.F.A. did not denounce, within the six-month period set by Article 3 of the council's decision, the clauses of the standard contracts that it qualified as anti-competitive; that in the absence of such a denunciation these clauses could continue to produce their effects; that such behavior constitutes by itself an act of non-compliance with the decision of December 1, 1987;</w:t>
      </w:r>
    </w:p>
    <w:p>
      <w:r>
        <w:t>Regarding the general clauses booklet produced on April 18, 1988: Considering that if the U.N.S.F.A. has formally responded, in the chapter dedicated to remuneration, to the council's injunction to place at the top of this chapter the indication that the fees are freely set between the project owner and the architect, the said professional organization mitigates the scope of this principle by suggesting that this setting is established solely by reference to the criteria it develops in great detail and by not providing for the possibility that other criteria may be chosen;</w:t>
      </w:r>
    </w:p>
    <w:p>
      <w:r>
        <w:t>Considering that regarding reimbursable fees, the U.N.S.F.A. has complied with the council's injunction to remove the multiplier coefficient as well as any numerical reference to the amount of the fees;</w:t>
      </w:r>
    </w:p>
    <w:p>
      <w:r>
        <w:t>Considering that the council's injunction also required the U.N.S.F.A. to remove, 'in the clauses relating to the percentage fee (...) the formula for determining the fee and all numerical indications other than those concerning the importance of the mission and the complexity of the operation'; that this injunction aimed to prevent, on the one hand, the establishment and dissemination of a formula from allowing the determination of the amount of fees based on pre-established coefficients, and on the other hand, that an indicator defining the importance of the work does not take on a directive character in the negotiation on prices and thus limit the play of competition;</w:t>
      </w:r>
    </w:p>
    <w:p>
      <w:r>
        <w:t>Considering that the U.N.S.F.A. nevertheless maintained in its new contracts the principle prohibited by the council of a formula for determining fees, retaining the same structure and characteristics; that the addition of a coefficient 'K', related to the reputation of the firm, does not imply the disappearance of practices for setting fees according to pre-established standards, contrary to the council's decision;</w:t>
      </w:r>
    </w:p>
    <w:p>
      <w:r>
        <w:t>Considering that the U.N.S.F.A. has maintained a table of coefficients taking into account the importance of the work, thus violating the obligation imposed on it to disjoin any mention of coefficient 'i';</w:t>
      </w:r>
    </w:p>
    <w:p>
      <w:r>
        <w:t>Considering that while certain clauses relating to costs and late payment interest, containing a numerical reference, have been removed, such as those defining late payment interest, other numerical references have been maintained or introduced, such as those relating to specific expenses and payment methods; that, to this extent, the injunction has also not been respected;</w:t>
      </w:r>
    </w:p>
    <w:p>
      <w:r>
        <w:t>Regarding the special clauses booklet produced on April 18, 1988: Considering that if the U.N.S.F.A. has incidentally mentioned, in the chapter dedicated to remuneration, the principle of free discussion of fees between the architect and their client, the scope of this mention was immediately limited by the presentation of a detailed formula for calculating percentage fees, in disregard, also on this point, of the decision of December 1, 1987;</w:t>
      </w:r>
    </w:p>
    <w:p>
      <w:r>
        <w:t>Regarding the draft standard contract produced before the council on December 13, 1991, attached to the observations in response to the report: Considering that this draft, produced very long after the expiration of the eight-month period set in Article 4 of the decision of December 1, 1987, contains under a different presentation the essential elements related to percentage remuneration precisely condemned by said decision, namely the definition of a formula used to determine the work and the definition of a numerical indication related to the importance of the work; that therefore the late presentation of this new draft cannot be considered as execution of the injunction;</w:t>
      </w:r>
    </w:p>
    <w:p>
      <w:r>
        <w:t>Considering that the U.N.S.F.A. cannot validly claim that by renouncing to establish and sell standard contracts, as it did before December 1, 1987, it has explicitly or implicitly denounced the validity of such documents while these can continue to be used by architects in their relations with their clients;</w:t>
      </w:r>
    </w:p>
    <w:p>
      <w:r>
        <w:t>Considering that even if the letter sent by the U.N.S.F.A. on April 18, 1988, to the Secretary of State for Competition and Consumption remained unanswered - which was contested in session by the Government Commissioner - this professional organization was not exempt from executing the council's decision while it is established that the Minister of State, Minister of Economy, Finance and Budget, consulted on the proposed modifications, indicated to it that these modifications did not fully correspond to the council's injunctions;</w:t>
      </w:r>
    </w:p>
    <w:p>
      <w:r>
        <w:t>Finally, considering that the U.N.S.F.A. cannot effectively invoke considerations related to the 'transparency of sales conditions' and 'consumer information', which cannot justify the adoption by a professional organization of measures that obstruct the principle of free discussion of fees;</w:t>
      </w:r>
    </w:p>
    <w:p>
      <w:r>
        <w:t>Considering that it follows from all of the above that the U.N.S.F.A. has not complied with the aforementioned decision of the Competition Council dated December 1, 1987, despite the observations made to it by the administration, and that it persists in this attitude; that it is therefore appropriate, by application of the combined provisions of Articles 13 and 14 of the ordinance of December 1, 1986, to impose a financial penalty on it, taking into account both the seriousness of the infringement and the contributory capacities of this professional organization,</w:t>
      </w:r>
    </w:p>
    <w:p>
      <w:r>
        <w:t>Decides:</w:t>
      </w:r>
    </w:p>
    <w:p>
      <w:r>
        <w:t>Sole Article. - A financial penalty of 2,500,000 F is imposed on the National Union of French Architects' Unions.</w:t>
      </w:r>
    </w:p>
    <w:p>
      <w:r>
        <w:t>Deliberated in section, on the oral report of Mr. Courivaud, in its session of January 21, 1992, where sat:</w:t>
      </w:r>
    </w:p>
    <w:p>
      <w:r>
        <w:t>Mr. Laurent, president;</w:t>
      </w:r>
    </w:p>
    <w:p>
      <w:r>
        <w:t>Messrs. Béteille and Pineau, vice-presidents;</w:t>
      </w:r>
    </w:p>
    <w:p>
      <w:r>
        <w:t>Messrs. Blaise, Gaillard, Schmidt, and Sloan, members.</w:t>
      </w:r>
    </w:p>
    <w:p>
      <w:r>
        <w:t>The substitute general rapporteur, The president,</w:t>
      </w:r>
    </w:p>
    <w:p>
      <w:r>
        <w:t>Mr. Santarelli P. Laurent</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