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https://www.autoritedelaconcurrence.fr/fr/decision/concernant-lexecution-de-la-decision-ndeg-88-d-37-du-11-octobre-1988-relative-au</w:t>
      </w:r>
    </w:p>
    <w:p>
      <w:r>
        <w:t>Pages translated : 7</w:t>
      </w:r>
    </w:p>
    <w:p/>
    <w:p>
      <w:r>
        <w:rPr>
          <w:b/>
        </w:rPr>
        <w:t>[Pages 1–3]</w:t>
      </w:r>
    </w:p>
    <w:p>
      <w:r>
        <w:t xml:space="preserve">FRENCH REPUBLIC  </w:t>
        <w:br/>
        <w:t xml:space="preserve">Decision No. 90-D-41 of October 30, 1990  </w:t>
        <w:br/>
        <w:t xml:space="preserve">concerning the execution of Decision No. 88-D-37 of October 11, 1988 relating  </w:t>
        <w:br/>
        <w:t xml:space="preserve">to the Economic Interest Grouping of Bank Cards "C.B."  </w:t>
        <w:br/>
        <w:t xml:space="preserve">The Competition Council,  </w:t>
        <w:br/>
        <w:t xml:space="preserve">Having regard to the letter, registered on June 5, 1990 under number R 4, by which the Minister of State, Minister of Economy, Finance and Budget, referred to the Competition Council the file relating to the execution of Decision No. 88-D-37 of the Competition Council;  </w:t>
        <w:br/>
        <w:t xml:space="preserve">Having regard to Decision No. 88-D-37 dated October 11, 1988 of the Competition Council relating to the Grouping of Bank Cards "C.B.";  </w:t>
        <w:br/>
        <w:t xml:space="preserve">Having regard to the judgments of the Paris Court of Appeal dated November 16, 1989 and April 26, 1990;  </w:t>
        <w:br/>
        <w:t xml:space="preserve">Having regard to Ordinance No. 86-1243 of December 1, 1986 relating to price and competition freedom, as amended, and in particular its Article 14, together with Decree No. 86-1309 of December 29, 1986 as amended taken for its application;  </w:t>
        <w:br/>
        <w:t xml:space="preserve">Having regard to the letter from the Grouping of Bank Cards "C.B." dated May 30, 1990;  </w:t>
        <w:br/>
        <w:t xml:space="preserve">Having regard to the observations presented by the Grouping of Bank Cards "C.B." and by the National Council of Commerce;  </w:t>
        <w:br/>
        <w:t xml:space="preserve">Having regard to the observations of the Government Commissioner;  </w:t>
        <w:br/>
        <w:t xml:space="preserve">Having regard to the other documents in the file;  </w:t>
        <w:br/>
        <w:t xml:space="preserve">The rapporteur, the general rapporteur, the Government Commissioner, and the representatives of the National Council of Commerce and the Grouping of Bank Cards "C.B." heard;  </w:t>
        <w:br/>
        <w:t xml:space="preserve">Retains the findings (I) and adopts the decision (II) set forth below:  </w:t>
        <w:br/>
        <w:t xml:space="preserve">I. - FINDINGS  </w:t>
        <w:br/>
        <w:t xml:space="preserve">A. - The injunction addressed to the Grouping of Bank Cards  </w:t>
        <w:br/>
        <w:t xml:space="preserve">Following the referral in 1986 of the Competition Commission by the National Council of Commerce (C.N.C.), the Competition Council notably found, by the aforementioned decision of October 11, 1988, which became final, that the Economic Interest Grouping of Bank Cards "C.B." - established in 1984 among all French institutions that issue bank cards - set the rate of the commission that its members, when acting as merchant banks, pay, on each transaction made by bank card, to those acting as cardholder banks. This commission, which is intended both to compensate for the risk related to the payment guarantee provided by the cardholder's bank and to cover the cost of collective security measures as well as the charges inherent to the processing of the transaction, was set at 0.8% of the transaction amount with a specific rate of 0.4% for transactions carried out at certain large retailers; it is not applicable to "intrabank" operations, which involve only one bank or one group of banks. The Competition Council considered that the "concerted" setting of this commission, then called "interchange," limited the banks' ability to negotiate with merchants the rate of the commission that the latter pay them on each transaction settled by bank card: the rate of this commission, in principle freely set, was, in practice, rarely lower than that of the interchange commission, as the merchant banks were "incentivized to apply to their clientele commission rates established based on the amounts they would have to pay to the cardholder banks." The definition by the "C.B." grouping of the interchange commission thus distorting the competitive landscape, the council nevertheless admitted it in principle, based on 2° of Article 51 of the ordinance of June 30, 1945: it appeared necessary for the proper functioning of the bank card payment system, as it prevented each member of the grouping from being forced to negotiate with all the others a specific commission rate. However, noting that the interchange commission rate was uniformly applicable to all financial institutions regardless of their particular situation, the council deemed the modalities retained for its definition "not in line with the objective of economic progress," on the grounds that they effectively prevented the members of the grouping "from granting their merchant clientele commission rates based on objective criteria and which are notably related to the merchants' efforts to reduce the risks of fraud and misuse." The Council, by Article 2 of the aforementioned decision of October 11, 1988, ordered the grouping "C.B." "to implement, no later than May 1, 1989, interchange modalities based on objective criteria taking into account, in particular, the degree of security of bank card payments in businesses." Article 4 of the same decision provided for the obligation for the grouping "C.B." to inform the Council, upon the expiration of the set deadline, of the measures it would have adopted to execute the injunctions set forth in Articles 1, 2, and 3.  </w:t>
        <w:br/>
        <w:t xml:space="preserve">B. - The new calculation of the commission  </w:t>
        <w:br/>
        <w:t xml:space="preserve">a) Measures applicable from May 1, 1989  </w:t>
        <w:br/>
        <w:t>The grouping "C.B." presented to the council, on March 29, 1989, the modalities according to which the commission in question, now termed "interbank payment commission," would be determined from May 1, 1989. In this system, the interbank payment commission, expressed as before as a percentage of the transaction amount but with a minimum of one franc, includes five rates: 0.5%, 0.55%, 0.6%, 0.65%, and 0.7%.</w:t>
      </w:r>
    </w:p>
    <w:p>
      <w:r>
        <w:t xml:space="preserve">These rates are applied according to the detected fraud, which is considered in brackets:  </w:t>
        <w:br/>
        <w:t xml:space="preserve">0.5% for a fraud rate ranging from 0 to 0.004%;  </w:t>
        <w:br/>
        <w:t xml:space="preserve">0.55% for a fraud rate ranging from 0.0041 to 0.008%;  </w:t>
        <w:br/>
        <w:t xml:space="preserve">0.6% for a fraud rate ranging from 0.0081 to 0.15%;  </w:t>
        <w:br/>
        <w:t xml:space="preserve">0.65% for a fraud rate ranging from 0.151 to 0.2%;  </w:t>
        <w:br/>
        <w:t xml:space="preserve">0.7% for a fraud rate equal to or greater than 0.21%.  </w:t>
        <w:br/>
        <w:t xml:space="preserve">Fraud is detected quarterly from the national file of oppositions as it appears on the day of interbank clearing. The fraud rate considered is expressed by the "interbank rate of cards in opposition" ("T.I.C.O."), which corresponds to the ratio between the amount of fraudulent transactions and the total amount of transactions recorded at the level of each pair of banks (merchant bank and cardholder bank). The examination of these modalities as well as the measures taken for the execution of Articles 1 and 3 of Decision No. 88-D-37 led to a decision of the council No. 89-D-15 dated May 3, 1989. Upon appeal by the grouping "C.B.," the Paris Court of Appeal, by judgment of November 16, 1989, annulled this decision for procedural irregularity, the suspension of execution of which had been pronounced by order of the first president, dated September 20, 1989. Referring to the examination of the conditions for executing Decision No. 88-D-37, the Court of Appeal, by the same judgment, found that the grouping "C.B." had complied with Articles 1 and 3 of that decision and that the following were not contrary to its Article 2: "the consideration for the calculation of the interbank payment commission of a consolidated fraud rate for all merchants domiciled in the same bank, the definition of the transactions from which the fraud rate is measured, the collection under said commission of a fixed minimum amount." By a second judgment, dated April 26, 1990, the court "states that as they have been established by the Directorate of Competition, Consumer Affairs and Fraud Prevention, the modalities for determining the interbank payment commission implemented by the Grouping of Bank Cards 'C.B.' are not in compliance with the injunction contained in Article 2 of the decision of the Competition Council of October 11, 1988." According to the considerations of this judgment, the modalities for calculating the interbank payment commission must comply with the following principles:  </w:t>
        <w:br/>
        <w:t xml:space="preserve">- each of the three components of the commission must be "distinguished... either as a fixed part or as a percentage";  </w:t>
        <w:br/>
        <w:t xml:space="preserve">- the part of the commission corresponding to processing charges must not be calculated based on the fraud rate;  </w:t>
        <w:br/>
        <w:t xml:space="preserve">- the part of the commission related to the payment guarantee must be able to experience "a continuous and uncapped progression."  </w:t>
        <w:br/>
        <w:t>Furthermore, the grouping "C.B." having decided between November 16, 1989 and April 26, 1990 that the file of oppositions established three days before the date of clearing (J-3) would be taken into account for measuring the T.I.C.O., and no longer on the day of clearing (J), the court considered that "this modification essentially has the effect of significantly reducing the impact of fraud on the variable part of the commission, thereby shifting the burden onto the entire system; that it ultimately results in depriving the selected criterion of objectivity."</w:t>
      </w:r>
    </w:p>
    <w:p>
      <w:r>
        <w:rPr>
          <w:b/>
        </w:rPr>
        <w:t>[Pages 4–6]</w:t>
      </w:r>
    </w:p>
    <w:p>
      <w:r>
        <w:t xml:space="preserve">1. b) Measures applicable from May 1, 1990  </w:t>
        <w:br/>
        <w:t xml:space="preserve">Following the judgment of April 26, 1990, the "C.B." group adopted the following methods for calculating the interbank payment commission, applicable from May 1, 1990.  </w:t>
        <w:br/>
        <w:t xml:space="preserve">The interbank payment commission now includes:  </w:t>
        <w:br/>
        <w:t xml:space="preserve">1° An element intended to cover the costs inherent in processing any transaction, regardless of its amount; it is set at 0.70 F.  </w:t>
        <w:br/>
        <w:t xml:space="preserve">2° An element intended to cover the cost of collective security measures; its amount is equal to 0.21% of the transaction.  </w:t>
        <w:br/>
        <w:t xml:space="preserve">3° An element intended to cover the expenses that cardholder banks incur for the payment guarantee they provide to merchants. Its amount is also expressed as a percentage of the transaction, but according to a variable rate, which is the interbank rate of cards in opposition (T.I.C.O.), as it was calculated in the previous system, except that the opposition file taken into account is that of the day before and not the day of clearing.  </w:t>
        <w:br/>
        <w:t xml:space="preserve">The interbank payment commission is deducted daily at a uniform rate of 0.6% (with a minimum of 1 F until April 30, 1990) applied provisionally. At the end of the quarter, a regularization occurs for the difference between the amount resulting from the application of this 0.6% rate and that resulting from the formula "0.70 F + 0.21% + T.I.C.O.".  </w:t>
        <w:br/>
        <w:t>This regularization is carried out as follows: the company tasked by the "C.B." group to measure the T.I.C.O. and calculate the interbank payment commission communicates to the Banque de France the amount of the "remainders" that various financial institutions must pay or receive. The transfer service of the Banque de France then proceeds to clear the remainders thus determined by adjusting the accounts of the institutions on its books.</w:t>
      </w:r>
    </w:p>
    <w:p>
      <w:r>
        <w:t xml:space="preserve">II. - IN LIGHT OF THE ABOVE FINDINGS, THE COMPETITION COUNCIL  </w:t>
        <w:br/>
        <w:t>Considering that the council, ruling under Article 14 of the aforementioned ordinance of December 1, 1986, can only assess the compliance of the provisions adopted by the Groupement des cartes bancaires with the terms of decision No. 88-D-37 of October 11, 1988, which includes an injunction; that it cannot, therefore, take into account or impose new conditions, it is its responsibility to assess whether, by their nature, the measures adopted by the group and in particular the components of the interbank payment commission, are contrary to neither the objectivity condition nor the requirement of a continuous relationship with the level of payment security, as established by the aforementioned decision;</w:t>
      </w:r>
    </w:p>
    <w:p>
      <w:r>
        <w:t xml:space="preserve">Regarding the measures applicable from May 1, 1989:  </w:t>
        <w:br/>
        <w:t xml:space="preserve">Considering, on the one hand, that it follows from the very terms of the judgment of April 26, 1990, of the Paris Court of Appeal, which has become final, that the methods for determining the interbank payment commission applicable from May 1, 1989, are not compliant with the injunction contained in Article 2 of the decision of the Competition Council of October 11, 1988, which itself has become final; that it is thus established that the group of bank cards did not comply with the obligations imposed on it by said decision, which left it, as noted by the Court of Appeal in the aforementioned judgment, the free choice of means of execution;  </w:t>
        <w:br/>
        <w:t xml:space="preserve">Considering, on the other hand, that the "C.B." group is not justified in claiming that it was impossible for it to execute the injunction contained in Article 2 of decision No. 88-D-37 before the intervention of the judgment of April 26, 1990; that if this had been the case, the court would not have been able to establish the non-execution of said injunction; that, moreover, to establish this non-execution, the court, which noted that "this injunction being final, it is of no interest to discuss its validity," limited itself to examining the new calculation methods of the commission presented by the group and which it claimed were compliant with the injunction, and it did not need to give a prior interpretation of decision No. 88-D-37 for this purpose; that this decision, which did not have to rule on the choice of means, contained all the elements allowing the group to ensure its execution;  </w:t>
        <w:br/>
        <w:t>Finally, considering that, to justify having implemented a commission system not compliant with the injunction of the Competition Council, the "C.B." group cannot effectively invoke the order for suspension of execution dated September 20, 1989; that indeed, this order concerned only the aforementioned decision of May 3, 1989, which had the sole purpose of assessing the compliance of the proposals presented by the group on March 29, 1989, and was not interpretative of the decision of October 11, 1988, against which no appeals or requests for suspension were made and which the group was in any case obliged to execute;</w:t>
      </w:r>
    </w:p>
    <w:p>
      <w:r>
        <w:t xml:space="preserve">Regarding the measures applicable from May 1, 1990:  </w:t>
        <w:br/>
        <w:t xml:space="preserve">On the structure of the interbank payment commission:  </w:t>
        <w:br/>
        <w:t>Considering that the formulation of the interbank payment commission clearly distinguishes the three components of it; that in particular, the part related to the remuneration of the risk incurred by the cardholder banks due to the payment guarantee they provide to merchants is isolated; that this part varies proportionally with the detected frauds, which allows merchant banks to negotiate with them, based on the security of the payment, the rate of the commission that the latter pay them; that thus the structure of the interbank payment commission applicable from May 1, 1990, is compliant with the injunction of the Competition Council;</w:t>
      </w:r>
    </w:p>
    <w:p>
      <w:r>
        <w:t xml:space="preserve">On the determination of the components of the interbank payment commission:  </w:t>
        <w:br/>
        <w:t xml:space="preserve">Considering, firstly, that the part of the interbank payment commission, set at 0.70 F, is intended to cover the processing costs of each transaction, includes different items, respectively related to the reception charges by the cardholder bank of the accounting movements issued by that of the merchant, management of claims, IT processing, issuance for the cardholder, management of accounting entries, account management, and postal charges; that these charges are related to operations necessary for the proper functioning of the system; that the fact that they are not exclusively linked to transactions carried out at merchants is not sufficient to deprive the calculation of the interbank payment commission of objectivity, which is not directly applicable to merchants; that thus the consideration of these charges is not contrary to the injunction;  </w:t>
        <w:br/>
        <w:t xml:space="preserve">Considering, secondly, regarding the part of the commission corresponding to collective security measures, that the interest of cardholder banks that guarantee payment in the proper functioning of a collective security system is not unrelated to the number and total amount of transactions; that, under these conditions, the setting of this part of the commission as a percentage of the transaction amount is not, in principle, contrary to the requirement of objectivity;  </w:t>
        <w:br/>
        <w:t xml:space="preserve">Considering that the said function of the commission related to security includes different items, respectively related to the prevention of fraud risk (authorization systems, secret code control), management of this risk (oppositions, monitoring of fraudulent transactions), insurance for exceptional risks, and the implementation of microprocessors in cards; that while it can be argued that some of these measures are of interest for operations other than card payments, they nonetheless constitute a determining condition for the security of this payment method; that, therefore, the corresponding charges cannot be regarded as being inherently excluded from the calculation of security charges;  </w:t>
        <w:br/>
        <w:t xml:space="preserve">Considering, thirdly, that, as noted by the Court of Appeal, which, in its judgment of November 16, 1989, accepted the definition given by the "C.B." group of the transactions from which the fraud rate is measured, the degree of security of payment by bank card can be objectively measured from the national opposition file without excluding those fraudulent transactions that result, due to the merchant's failure to meet its security obligations, in the refusal by the cardholder bank to guarantee payment;  </w:t>
        <w:br/>
        <w:t xml:space="preserve">Considering that it follows from the judgments of November 16, 1989, and April 26, 1990, of the aforementioned Paris Court of Appeal that the choice of the date of clearing to ascertain the fraud rate can be regarded as an objective measure of fraud; that therefore the principle of this choice cannot be contested today in the context of the application of Article 14 of the aforementioned ordinance of 1986;  </w:t>
        <w:br/>
        <w:t>But considering that the opposition file taken into account to measure the interbank rate of cards in opposition (T.I.C.O.) is that of the day before the day of clearing of interbank operations (J-1), whereas it follows from the judgment of the Court of Appeal of April 26, 1990, that a shift from the day of clearing (J) reduces the incidence of fraud on the variable part of the commission; that the "C.B." group provides no justification for the technical constraints that would prevent the consideration of the opposition file of the day of clearing (J), especially since the data relating to the T.I.C.O. are only processed after a certain period, subsequent to the...</w:t>
      </w:r>
    </w:p>
    <w:p>
      <w:r>
        <w:rPr>
          <w:b/>
        </w:rPr>
        <w:t>[Pages 7–7]</w:t>
      </w:r>
    </w:p>
    <w:p>
      <w:r>
        <w:t>day of clearing; thus, the choice of day J-1 cannot be regarded as meeting the condition of objectivity;</w:t>
      </w:r>
    </w:p>
    <w:p>
      <w:r>
        <w:t>Considering finally that the fact that the interbank payment commission results in provisional payments established according to a uniform rate and then a subsequent adjustment does not, in itself, prevent either the merchant banks from informing their clients of the rates of said commission that they are required to pay to cardholder banks, or the merchants from being able to negotiate with them the rate of commissions based on the efforts made by them in the field of security; that, under these conditions, the "C.B." group cannot be reproached for having disregarded the scope of the injunction by adopting these methods of payment of the interbank payment commission;</w:t>
      </w:r>
    </w:p>
    <w:p>
      <w:r>
        <w:t>Considering that it follows from all of the above that it is necessary, pursuant to Article 14 of the aforementioned ordinance of December 1, 1986, to impose a financial penalty on the "C.B." banking card group, on the one hand, for the non-compliance with the injunction of the Competition Council during the period from May 1, 1989, to April 30, 1990, and, on the other hand, for its imperfect execution as of May 1, 1990,</w:t>
      </w:r>
    </w:p>
    <w:p>
      <w:r>
        <w:t>Decides:</w:t>
      </w:r>
    </w:p>
    <w:p>
      <w:r>
        <w:t>A financial penalty of six million francs is imposed on the "C.B." banking card group.</w:t>
      </w:r>
    </w:p>
    <w:p>
      <w:r>
        <w:t>Deliberated in plenary session on the report of Mr. du Besset in its meeting of October 30, 1990, where were present: Mr. Laurent, president, Messrs. Beteille and Pineau, vice-presidents, Messrs. Blaise, Bon, Cabut, Cerruti, Cortesse, Fries, Gaillard, Ms. Hagelsteen, Messrs. Sargos and Schmidt, members.</w:t>
      </w:r>
    </w:p>
    <w:p>
      <w: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