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https://www.autoritedelaconcurrence.fr/fr/decision/decision-ndeg96-d-73-du-26-novembre-1996-relative-des-pratiques-mises-en-oeuvre-sur-le</w:t>
      </w:r>
    </w:p>
    <w:p>
      <w:r>
        <w:t>Pages translated : 2</w:t>
      </w:r>
    </w:p>
    <w:p/>
    <w:p>
      <w:r>
        <w:rPr>
          <w:b/>
        </w:rPr>
        <w:t>[Pages 1–2]</w:t>
      </w:r>
    </w:p>
    <w:p>
      <w:r>
        <w:t xml:space="preserve">FRENCH REPUBLIC  </w:t>
        <w:br/>
        <w:t xml:space="preserve">Decision No. 96-D-73 of November 26, 1996  </w:t>
        <w:br/>
        <w:t xml:space="preserve">regarding practices implemented  </w:t>
        <w:br/>
        <w:t xml:space="preserve">in the market for the supply of roasted coffee to cafés-hotels-restaurants  </w:t>
        <w:br/>
        <w:t xml:space="preserve">The Competition Council (permanent commission),  </w:t>
        <w:br/>
        <w:t xml:space="preserve">Having regard to the letter registered on April 5, 1989, under number F 239, by which the Minister of State, Minister of Economy, Finance, and Budget referred the Competition Council to the competitive situation in the market for the supply of roasted coffee to cafés-hotels-restaurants;  </w:t>
        <w:br/>
        <w:t xml:space="preserve">Having regard to Ordinance No. 86-1243 of December 1, 1986, as amended, relating to the freedom of prices and competition, and Decree No. 86-1309 of December 29, 1986, as amended, adopted for its application;  </w:t>
        <w:br/>
        <w:t xml:space="preserve">Having regard to the observations presented by the companies Grande Brasserie Ardial, A La Cloche d'Argent, Albert Masson, Café Aubdis, Café A. Bertrand, Socoser (Biérovin Ets Blancs et Moquet), Café Boucaut, Brûlerie Dareau, Brûlerie du Pilori, Cafés Henry Blanc, Cafés Delché, Ets Roth et Cie Cafés Ras d’Amhara, Café Jacques d'Accorsi, Henri Large, Jullien Didier, Kraft Jacobs Suchard France, Société d'Exploitation des Cafés Javador, Ladoux, Legall Jahan et Conte, Louis Ditte, Cie Méditerranéenne des Cafés, Cafés l'Oasis, Parisienne des Cafés, Ricardo, Vernette et Prader, La Maison du Bon Café, Le Pélican Rouge, Multi-Cafés, Sud Café, Georges Vernier, San Paolo, Société Lorraine de Torréfaction, Turfait et Cie, Sorco, Vaudour Danon, Segafredo Zanetti France, Torréfaction du Triomphe, Torréfaction Sary as well as by the Government Commissioner;  </w:t>
        <w:br/>
        <w:t xml:space="preserve">Having regard to the other documents in the file;  </w:t>
        <w:br/>
        <w:t>The rapporteur, the general rapporteur, the Government Commissioner, and the representatives of the companies Albert Masson, Aubdis, Grande Brasserie Ardial, Cafés Henry Blanc, Cafés Delché, Cafés Petit Duc, Ricardo, Ladoux, Vernette et Prader, Le Gall, Kraft Jacobs Suchard France and Sorco, heard, the companies Socoser (Biérovin Ets Blancs et Moquet), BJP Expresso, Café Tao l’Expresso, Multi Cafés, Sorco, Sociétés des Produits G. Vernier, A la Cloche d’Argent, Cafés Louis Ditte, Segafredo Zanetti France, Vaudour-Danon, Ets Jean Haye (Cafés Grillon), Cafés Leuner, Société Lorraine de Torréfaction, San Paolo, Epicerie et brûleries de cafés J. Bacquié, Société Parisienne des Cafés, Café Henri Large, Cafés Bertrand, Ets Roth et Cie Ras d’Amhara Cafés, Darme-Verchère et Cie, Torréfaction du Triomphe, Cafés Javador, Cafés Frédéric, Cafés Freica, Sud Cafés (cafés Perrin), Turfait et Cie, d’Accorsi Jacques, La Maison du Bon Café, Cie Méditerranéenne des cafés, Torréfaction Sary, Torréfaction de l’Ouest (Brûlerie du Pilori), C.M.D. (cafés Boucaut), Sociétés des cafés Toulousains having been regularly summoned;</w:t>
      </w:r>
    </w:p>
    <w:p>
      <w:r>
        <w:t xml:space="preserve">Considering that the Minister of State, Minister of Economy, Finance, and Budget, referred the Competition Council to practices implemented in the market for the supply of roasted coffee to cafés-hotels-restaurants;  </w:t>
        <w:br/>
        <w:t xml:space="preserve">Considering that the companies Ricardo, Ladoux, Vernette et Prader, Albert Masson, Sorco, Aubdis and Ardial argue that in the absence of any interruptive act occurring within a period of three years from the notification of supplementary grievances dated March 3, 1991, the facts denounced in the referral are time-barred, pursuant to Article 27 of the ordinance of December 1, 1986;  </w:t>
        <w:br/>
        <w:t xml:space="preserve">Considering that under Article 27 of the ordinance of December 1, 1986: "The Council cannot be seized of facts dating back more than three years if no act has been made to seek, establish, and sanction them"; that the Court of Appeal of Paris in a ruling of December 1, 1995 (société L'Entreprise Industrielle, 1st chamber, competition section, ruling No. 95/3245) decided that "this text establishes a limitation period and defines the nature of acts that have the effect of interrupting it; (...) that any limitation whose acquisition results in rendering an action inadmissible or prohibiting the sanction of a fact begins to run after it has been interrupted, subject to any potential cause (...) for suspension of its course";  </w:t>
        <w:br/>
        <w:t xml:space="preserve">Considering that it is established that the practices denounced in the referral have not been subject to any interruptive act of limitation for a period of more than three years; that, under these conditions, the Council cannot examine these facts;  </w:t>
        <w:br/>
        <w:t xml:space="preserve">Considering that it follows from the above that it is necessary to apply the provisions of Article 20 of the ordinance of December 1, 1986;  </w:t>
        <w:br/>
        <w:t xml:space="preserve">Decides:  </w:t>
        <w:br/>
        <w:t xml:space="preserve">Sole Article. - There is no need to continue the procedure.  </w:t>
        <w:br/>
        <w:t xml:space="preserve">Deliberated on the report of Mr. Loïc Guérin by Mr. Barbeau, president, MM. Cortesse and Jenny, vice-presidents.  </w:t>
        <w:br/>
        <w:t xml:space="preserve">The substitute general rapporteur, The president,  </w:t>
        <w:br/>
        <w:t xml:space="preserve">Marie-Hélène Mathonnière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