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https://ec.europa.eu/competition/mergers/cases/decisions/m1080_de.pdf</w:t>
      </w:r>
    </w:p>
    <w:p>
      <w:r>
        <w:t>Pages translated : 20</w:t>
      </w:r>
    </w:p>
    <w:p/>
    <w:p>
      <w:r>
        <w:rPr>
          <w:b/>
        </w:rPr>
        <w:t>[Pages 1–3]</w:t>
      </w:r>
    </w:p>
    <w:p>
      <w:r>
        <w:t xml:space="preserve">CASE No. IV/M.1080 - ***  </w:t>
        <w:br/>
        <w:t xml:space="preserve">THYSSEN / KRUPP  </w:t>
        <w:br/>
        <w:t xml:space="preserve">Only the German text is available and binding.  </w:t>
        <w:br/>
        <w:t xml:space="preserve">REGULATION (EEC) No. 4064/89  </w:t>
        <w:br/>
        <w:t xml:space="preserve">ON MERGER PROCEDURES  </w:t>
        <w:br/>
        <w:t xml:space="preserve">Article 6, Paragraph 1, b NO OBJECTIONS  </w:t>
        <w:br/>
        <w:t xml:space="preserve">Date: 02/06/1998  </w:t>
        <w:br/>
        <w:t xml:space="preserve">Also available in the CELEX database  </w:t>
        <w:br/>
        <w:t xml:space="preserve">Document number 398M1080  </w:t>
        <w:br/>
        <w:t xml:space="preserve">Office for Official Publications of the European Communities  </w:t>
        <w:br/>
        <w:t>L-2985 Luxembourg</w:t>
      </w:r>
    </w:p>
    <w:p>
      <w:r>
        <w:t xml:space="preserve">COMMISSION OF THE EUROPEAN COMMUNITIES  </w:t>
        <w:br/>
        <w:t xml:space="preserve">Brussels, 02.06.1998  </w:t>
        <w:br/>
        <w:t xml:space="preserve">PUBLIC VERSION  </w:t>
        <w:br/>
        <w:t xml:space="preserve">MERGER PROCEDURE  </w:t>
        <w:br/>
        <w:t xml:space="preserve">ARTICLE 6(1)(b) DECISION  </w:t>
        <w:br/>
        <w:t xml:space="preserve">To the notifying companies  </w:t>
        <w:br/>
        <w:t xml:space="preserve">Subject: Case No. IV/M.1080 - Thyssen / Krupp  </w:t>
        <w:br/>
        <w:t>Notification of 14.04.1998 pursuant to Article 4 of Regulation (EEC) No. 4064/89 of the Council</w:t>
      </w:r>
    </w:p>
    <w:p>
      <w:r>
        <w:t xml:space="preserve">Dear Sir or Madam,  </w:t>
        <w:br/>
        <w:t xml:space="preserve">1. On April 14, 1998, the German companies Thyssen AG, Duisburg (“Thyssen”), and Fried. Krupp AG Hoesch-Krupp, Essen and Dortmund (“Krupp”), jointly notified their intention to fully merge both companies in accordance with Article 4 of Regulation (EEC) No. 4064/89 of the Council1 (“Merger Control Regulation”), last amended by Regulation (EC) No. 1310/972. The new company will operate under the name “Thyssen Krupp Aktiengesellschaft” after the merger is completed.  </w:t>
        <w:br/>
        <w:t xml:space="preserve">2. Following the examination of the notification, the Commission has determined that the notified project falls within the scope of the Merger Control Regulation and that, based on the commitments made by Krupp, there are no serious doubts regarding its compatibility with the Common Market and the Agreement on the European Economic Area.  </w:t>
        <w:br/>
        <w:t>3. Both the Thyssen Group and the Krupp Group are active in the field of the production and processing of iron and steel as well as the sale and trade of steel products of varying degrees of processing. To the extent that products affected by the notified merger project fall under the ECSC Treaty3, the Commission has examined the project pursuant to Article 66 of the ECSC Treaty (cf. IV/ECSC.1278 - Thyssen/Krupp). This decision therefore only concerns those parts of the project that fall within the scope of the Merger Control Regulation.</w:t>
      </w:r>
    </w:p>
    <w:p>
      <w:r>
        <w:t xml:space="preserve">I. THE PARTIES  </w:t>
        <w:br/>
        <w:t xml:space="preserve">4. The main areas of activity of Thyssen are the production and processing of steel and other materials, the manufacture of industrial components and systems, communication technology, trade and services in various sectors, as well as the acquisition, disposal, development, and management of real estate. The Thyssen Group achieved worldwide sales revenues of 20.7 billion ECU in the 1996/97 financial year, of which [...]4 billion ECU in the Community and [...] million ECU in the EFTA States.  </w:t>
        <w:br/>
        <w:t>5. The activities of Krupp primarily include the production and processing of iron, steel, metals, and other materials, the planning and manufacture of machines, mechanical systems and components, as well as electronic systems, the planning and construction of industrial plants and facilities, the provision of technical and other services, and the distribution and trade of its own and other products. The Krupp Group achieved worldwide sales revenues of 12.8 billion ECU in the 1997 financial year, of which [...] billion ECU in the Community and [...] million ECU in the EFTA States.</w:t>
      </w:r>
    </w:p>
    <w:p>
      <w:r>
        <w:t xml:space="preserve">II. THE PROJECT  </w:t>
        <w:br/>
        <w:t xml:space="preserve">6. The notified merger project is a merger by formation of a new company (fusion) within the meaning of the German Transformation Act. Thyssen and Krupp will transfer their entire assets to the newly established Krupp Thyssen Aktiengesellschaft (“Krupp Thyssen”) based on a merger agreement. The future activities of Krupp Thyssen will be assigned to the five business areas of steel, automotive, industry, engineering, and trade. The supervisory boards of Thyssen and Krupp have approved the merger of their companies. The merger will become effective once it has been approved by the general meeting of each company.  </w:t>
        <w:br/>
        <w:t xml:space="preserve">3 Treaty establishing the European Community for Coal and Steel of April 18, 1951.  </w:t>
        <w:br/>
        <w:t>4 Certain information has been deleted in the public version (hereinafter marked by [...]) or replaced by more general statements or approximations.</w:t>
      </w:r>
    </w:p>
    <w:p>
      <w:r>
        <w:rPr>
          <w:b/>
        </w:rPr>
        <w:t>[Pages 4–6]</w:t>
      </w:r>
    </w:p>
    <w:p>
      <w:r>
        <w:t xml:space="preserve">III. MERGER  </w:t>
        <w:br/>
        <w:t>7. The complete merger of two previously independent companies constitutes a merger within the meaning of Article 3(1)(a) of the Merger Regulation.</w:t>
      </w:r>
    </w:p>
    <w:p>
      <w:r>
        <w:t xml:space="preserve">IV. COMMUNITY-WIDE SIGNIFICANCE  </w:t>
        <w:br/>
        <w:t>8. The companies involved in the merger achieve a combined worldwide total turnover of more than 5 billion ECU. Thyssen and Krupp each achieve a community-wide total turnover of more than 250 million ECU. The parties to the merger do not each achieve more than two-thirds of their community-wide total turnover in one and the same Member State. Therefore, the merger project has community-wide significance within the meaning of Article 1(2) of the Merger Regulation. It does not meet the preconditions for cooperation with the EFTA Surveillance Authority under the EEA Agreement.</w:t>
      </w:r>
    </w:p>
    <w:p>
      <w:r>
        <w:t xml:space="preserve">V. COMPETITIVE ASSESSMENT  </w:t>
        <w:br/>
        <w:t>9. According to the findings of the Commission, the activities of Thyssen and Krupp overlap only in relatively few areas. As long as the parties to the merger achieve a combined share of less than 25% in each Member State of the Community and in each EFTA State, the creation or strengthening of a dominant position is not to be expected. According to the findings of the Commission, in these cases there are always several significant competitors active both in the affected Member States and cross-border throughout the EEA area, who will effectively control the competitive behavior of the parties to the merger in the future. The precise delineation of the geographically relevant market did not need to be decided in this respect, as the intended merger does not lead to the creation or strengthening of a dominant position even assuming national markets. However, if the parties to the merger achieve a combined share of 25% or more in a Member State of the Community or in an EFTA State and the existence of regional or national markets cannot be clearly ruled out, the competitive effects of the notified project required a more in-depth investigation (see below).</w:t>
      </w:r>
    </w:p>
    <w:p>
      <w:r>
        <w:t>10. The structure of the more in-depth assessment of the competitive effects of the notified project follows the organization of the future company and distinguishes the business areas Steel (A.), Automotive (B.), Industry (C.), Engineering (D.), Trade (E.), and Other (F.).</w:t>
      </w:r>
    </w:p>
    <w:p>
      <w:r>
        <w:t xml:space="preserve">A. Business Area Steel  </w:t>
        <w:br/>
        <w:t>11. The activities of Thyssen and Krupp in the field of steel manufacturing and processing will be consolidated in the newly formed management company Thyssen Krupp Steel AG. In particular, the existing joint ventures of the parties to the merger in the areas of quality steel flat products, electrical steel, tinplate, as well as corrosion-resistant, acid-resistant, and heat-resistant stainless steel flat products, which have been reviewed and approved by the Commission (see in particular Case IV/M.925 - Krupp Hoesch/Thyssen), will be contributed. The future business area Steel will achieve a worldwide total turnover of approximately [...] billion ECU.</w:t>
      </w:r>
    </w:p>
    <w:p>
      <w:r>
        <w:t xml:space="preserve">A.1 Overlap Areas  </w:t>
        <w:br/>
        <w:t xml:space="preserve">A.1.1 Stainless Steel Long Products  </w:t>
        <w:br/>
        <w:t xml:space="preserve">a) Relevant Market  </w:t>
        <w:br/>
        <w:t xml:space="preserve">12. Stainless steels are highly alloyed steel grades that exhibit a higher degree of purity compared to quality steels and are characterized by special manufacturing conditions.5 Depending on the type of stainless steels, long products can be distinguished as stainless construction and rolling bearing steel (approximately 79% of the EU market supply of stainless steel long products), RSH steel (15%), as well as tool and high-speed steel (6%). Long products made from stainless construction and rolling bearing steel are predominantly used for mechanically stressed components in the automotive and mechanical engineering sectors. In terms of EU market supply (all product types), the parties to the merger achieve a combined share of approximately [&lt; 10%]. RSH steel products are characterized by their resistance to corrosion, high strength, and high temperature resistance and are used in industrial production systems, mechanical engineering, and power plant construction; the parties to the merger achieve a share of approximately [&lt; 15%]. Tool and high-speed steels are characterized by special physical and mechanical properties (economic machinability, high wear resistance, good hardenability) and are used for the manufacture of machine and hand tools; in the EU market supply, the parties to the merger achieve a share of approximately [25-35%]. Stainless steel long products in forged and bright versions (forged semi-finished products and bar steel, bright bars and drawn rings (wires)) fall under the Merger Regulation, while rolled stainless steel long products (blocks and rolled semi-finished products (billets), bar steel and profiles, rolled wire) fall under the ECSC Treaty. The parties to the merger achieve a combined share of approximately [&lt; 10%] in the EU market supply of forged products (here only the Thyssen subsidiary EWK is active) and approximately [&lt; 10%] in the supply of bright steel products. According to the parties, it is intended to sell the long product activities as soon as possible and to concentrate the activities of the future group on the area of flat steel products. In accordance with previous decisions6, it is also assumed in this case that (at least) EU-wide markets exist.  </w:t>
        <w:br/>
        <w:t xml:space="preserve">5 See Case IV/ECSC.1143 - Krupp Hoesch/Thyssen, Decision of 28.07.1997, paragraph 11.  </w:t>
        <w:br/>
        <w:t>6 See Case IV/ECSC.1143 - Krupp Hoesch/Thyssen, Decision of 28.07.1997.</w:t>
      </w:r>
    </w:p>
    <w:p>
      <w:r>
        <w:t xml:space="preserve">b) Effects of the Merger  </w:t>
        <w:br/>
        <w:t>13. In the relevant product markets for bar steel made from tool and high-speed steel in forged and bright versions, the parties to the merger achieved EU-wide market shares of under 30% in 1996. However, the merger does not lead to market share additions, as Thyssen manufactures bar steel from tool steel only in forged form (Stainless Steel Witten Krefeld) and Krupp manufactures this product only in bright form (Krupp Edelstahl Profile). The largest competitor in forged bars made from tool steel is the Austrian-Swedish joint venture Böhler Uddeholm Tooling (the applicants estimate the EU market share at at least 20%). In addition, the companies Kind+Co Edelstahlwerk, Stahlwerke Buderus, Schmidt+Clemens Edelstahlwerk, Boschgotthardshütte (Sächsische Edelstahlwerke Freital), Breitenfeld Edelstahl, Lovere Sidermeccanica, Cogne Acciai, and Erasteel are to be mentioned as the main competitors. The largest competitors in bright bar steel made from tool steel are Böhler Uddeholm, British Engineering Steel, Cogne, Bolzano, EZM Edelstahlzieherei Mark, Stahlwerke Unna, and Platestahl Umformtechnik. Given the relatively low market share of the parties to the merger and several, partly significant, competitors, the creation or strengthening of a dominant position is not to be expected.</w:t>
      </w:r>
    </w:p>
    <w:p>
      <w:r>
        <w:t xml:space="preserve">A.1.2 Steel Sheet Components (Formed Parts, Sandwich Elements)  </w:t>
        <w:br/>
        <w:t xml:space="preserve">a) Relevant Market  </w:t>
        <w:br/>
        <w:t xml:space="preserve">14. The relevant product market includes the manufacture and distribution of components for roofing and wall/ceiling cladding made of steel sheet. A distinction is to be made between pure supply business and performance business, which includes the planning and execution of roofing and wall cladding. In accordance with the parties to the merger, a distinction is to be made between formed parts (shaped sheets as components of the load-bearing structure without thermal insulation) and sandwich elements with integrated thermal insulation.  </w:t>
        <w:br/>
        <w:t xml:space="preserve">15. The relevant geographical markets are, in the opinion of the parties, to be delineated on an EEA-wide basis. However, the market shares of the parties to the merger in the individual Member States are very different, and the spatial proximity of the distribution and service units to the customers or construction sites seems to be, at least in the supply business, a significant competitive criterion. The parties to the merger only have significant market shares in those Member States where they are also directly active with subsidiaries (Germany, Austria, Netherlands/Belgium, and France). The vast majority of the components are sold directly to construction companies or general contractors in direct business. In addition, the different building traditions and regulations in the Member States have contributed to a geographical specialization of the suppliers. In this case, the precise delineation of the geographically relevant market can remain open, as even assuming national product markets, the creation or strengthening of a dominant position is not to be expected.  </w:t>
        <w:br/>
        <w:t>b) Effects of the Merger</w:t>
      </w:r>
    </w:p>
    <w:p>
      <w:r>
        <w:rPr>
          <w:b/>
        </w:rPr>
        <w:t>[Pages 7–9]</w:t>
      </w:r>
    </w:p>
    <w:p>
      <w:r>
        <w:t>16. In the relevant product market for stamped parts made of steel sheet (supply business), the parties involved in the merger report a combined EEA-wide market share (1996) of approximately [5-10%] (Thyssen: [&lt; 10%]; Krupp: [&lt; 10%]); the highest market shares are achieved in Belgium/Luxembourg (approximately [25-35%]) and Germany ([15-25%]). In the relevant product market for sandwich panels made of steel sheet (supply business), a combined EEA-wide share of approximately [&lt; 15%] (Thyssen: [&lt; 10%]; Krupp: [&lt; 10%]) is achieved; the strongest market positions exist in the Netherlands (approximately [30-40%]), Belgium/Luxembourg (20-30%), and Germany (20-30%). In the affected national markets, several, partly significant, competitors are active, particularly Hoogovens (via SAB in NL (market share over 50%) and D (5-10%)), Cockerill Sambre (via Société Forge d’Haironville in B/Lux (15%) and A (15-30%) as well as via EKO-Stahl in D), ARBED (Lux), British Steel (via Fischer in D (12%)), Usinor Sacilor (via Produit Acier Batiment in B/Lux (20%) and D (11%)) as well as Preussag Stahl (D). In the performance business with steel sheet components, the parties involved in the merger achieve only small market shares of under 10% in the individual Member States. In addition to suppliers dependent on steel manufacturers, a large number of medium-sized and smaller facade construction or steel construction companies are active, which predominantly compete at the regional or local level. Based on the above findings, the emergence or strengthening of a dominant market position is not to be expected.</w:t>
      </w:r>
    </w:p>
    <w:p>
      <w:r>
        <w:t xml:space="preserve">A.1.3 Semi-finished Products from Nickel-Based Alloys  </w:t>
        <w:br/>
        <w:t xml:space="preserve">a) Relevant Market  </w:t>
        <w:br/>
        <w:t>17. Nickel semi-finished products are sold in five product forms, which, according to the parties involved in the merger, each represent independent relevant product markets: strips, sheets, wire, rods, and tube pre-material. Depending on the intended use, the requirements of the buyers focus on the hot strength, corrosion resistance, conductivity/electrical resistance, magnetic properties, expansion behavior, or purity of the semi-finished products. According to the parties, nickel semi-finished products are in intense substitution competition with semi-finished products made from other materials, particularly from ceramic and special stainless steels, fiberglass plastics, and rubberized sheets, iron-silicon and copper-iron materials, titanium, cast materials, etc. However, according to the Commission's findings, for a number of applications, the substitution of nickel semi-finished products, particularly strips, with other materials is not readily possible for technical reasons, and the price and quality of the materials differ significantly. In the present case, it does not need to be decided whether the materials mentioned by the parties should be included in the relevant product markets, as the intended merger, even when assuming markets for semi-finished products from nickel-based alloys, does not lead to the emergence or strengthening of a dominant market position.</w:t>
      </w:r>
    </w:p>
    <w:p>
      <w:r>
        <w:t>18. The geographically relevant markets are, in the opinion of the parties involved in the merger, to be defined at least on an EU-wide basis. This is supported by the absence of significant market entry barriers and the high share of cross-border deliveries between the Member States. The Commission has no indication that the geographically relevant markets in this case should be defined nationally or regionally.</w:t>
      </w:r>
    </w:p>
    <w:p>
      <w:r>
        <w:t xml:space="preserve">b) Effects of the Merger  </w:t>
        <w:br/>
        <w:t>19. Thyssen does not manufacture strips and sheets from nickel-based alloys itself but is only involved in the joint venture Krupp Thyssen Nirosta GmbH, which operates in these markets. Thyssen's own activities are limited to the markets for wire and rods. Krupp, in addition to Krupp Thyssen Nirosta, has its own activities in the markets for wire, rods, strips, sheets, and tube pre-material. Therefore, overlaps between Thyssen and Krupp occur only in the relevant product markets for wire and rods.7 According to their own statements, the parties involved in the merger achieve a combined EU-wide market share of approximately [25-35%] (wire) and approximately [5-15%] (rods). In the overall market for nickel semi-finished products (excluding tubes), a combined market share of approximately [25-35%] (Thyssen: [&lt; 5%]; Krupp: [25-35%]) is achieved. In the area of wire made from nickel-based alloys, the parties compete with Inco (market share approximately 18%), Deutsche Nickel (18%), Imphy (12%), Kanthal (8%), and Gebauer&amp;Griller (6%). The most significant competitors in the rods market are Inco (approximately 30% EU-wide), Allegheny Teledyne (15%), Special Metals (8%), Firth Rixson (8%), and Deutsche Nickel (6%). Other suppliers of nickel semi-finished products in the EU include Haynes International and Foroni. Given the relatively low market shares and several significant competitors, the emergence or strengthening of a dominant market position in the markets for wire and rods made from nickel-based alloys is not to be expected. Due to Thyssen's very limited activities in the overall market for nickel semi-finished products (EU turnover of approximately [...] million ECU) and the existing cooperation with Krupp in the joint venture Krupp Thyssen Nirosta prior to the merger, it can also be ruled out that Krupp's strong market position in the other relevant product markets (strips and sheets) will be significantly strengthened.</w:t>
      </w:r>
    </w:p>
    <w:p>
      <w:r>
        <w:t xml:space="preserve">A.2 Non-Overlapping Areas  </w:t>
        <w:br/>
        <w:t>20. The parties involved in the merger achieve market shares of partly well over 25% in the following product markets in individual Member States, whether defined on an EU-wide or EEA-wide basis: wire products from non-ferrous metals (EDM wires, electronics wires, welding wires, spectacle wires), special profiles made of steel (extruded special profiles), as well as welded and bent crane boom parts. However, the intended merger does not lead to market share additions, as only one of the two companies involved in the merger is active in the relevant product markets. In these cases, the Commission has thoroughly examined whether the intended merger would lead to a significant strengthening of the existing market positions through improved access to sales and procurement markets, increased integration into vertically upstream or downstream markets, or through the increase of financial or other resources. After reviewing all relevant circumstances and based on the information provided by the parties, the Commission has concluded that in none of these non-overlapping areas is the emergence or strengthening of a dominant market position to be expected.</w:t>
      </w:r>
    </w:p>
    <w:p>
      <w:r>
        <w:t>7 In the markets for strips and sheets, Thyssen and Krupp are already considered to be merged due to their participation in the jointly controlled company Krupp Thyssen Nirosta.</w:t>
      </w:r>
    </w:p>
    <w:p>
      <w:r>
        <w:t xml:space="preserve">B. Automotive Sector  </w:t>
        <w:br/>
        <w:t>21. The activities of Thyssen and Krupp in the area of supply parts for the automotive industry will be consolidated in the newly formed management company Thyssen Krupp Automotive AG. The future automotive sector will achieve a global total turnover of approximately [...] billion ECU.</w:t>
      </w:r>
    </w:p>
    <w:p>
      <w:r>
        <w:t xml:space="preserve">B.1 Overlapping Areas  </w:t>
        <w:br/>
        <w:t xml:space="preserve">B.1.1 Front and Rear Axle Components in Sheet Metal Design  </w:t>
        <w:br/>
        <w:t xml:space="preserve">a) Relevant Market  </w:t>
        <w:br/>
        <w:t>22. Front and rear axle components in sheet metal design are welded sheet constructions without any additional components for steering, damping, suspension, or drive. In accordance with the parties involved in the merger, it is assumed in this case that front and rear axle components for passenger cars and light commercial vehicles belong to the same relevant product market. In contrast, the components for heavy commercial vehicles (weight over 3.5 tons) not manufactured by the parties involved in the merger form a separate product market due to specific design features.</w:t>
      </w:r>
    </w:p>
    <w:p>
      <w:r>
        <w:t>23. According to the parties, the geographically relevant market for front and rear axle components in sheet metal design is to be defined on an EEA-wide basis, as European automotive manufacturers produce the same or similar vehicle models in several Member States. All significant suppliers of front and rear axle components are also active across Europe. The Commission has previously assumed in cases in the automotive supply sector that the geographically relevant market is at least EEA-wide (see, for example, the Commission's decision of April 29, 1997, in case IV/M.912 - Siemens/HUF, para. 13 et seq.). It is also not contrary to this that market shares in different Member States often vary significantly. This is explained by the fact that, particularly in countries with only a few automotive manufacturers, the choice of a supplier by a large manufacturer can already lead to very high national market shares. Therefore, the market for front and rear axle components in sheet metal design is to be defined as at least EEA-wide.</w:t>
      </w:r>
    </w:p>
    <w:p>
      <w:r>
        <w:t xml:space="preserve">b) Effects of the Merger  </w:t>
        <w:br/>
        <w:t>24. The EEA market volume (1997) is estimated by the parties to be approximately 1.1 billion ECU. The parties involved in the merger achieved a combined market share of just under [25-35%] (Thyssen: [10-20%]; Krupp: [10-20%]). The most significant competitors are Benteler (market share approximately 40%), GKN (10%), as well as Heuliez, Sofedit, and Vallourec (each under 10%). Furthermore, it should be noted that the majority (approximately 60%) of the total demand for front and rear axle components is produced by the automotive manufacturers themselves as part of "in-house" production.</w:t>
      </w:r>
    </w:p>
    <w:p>
      <w:r>
        <w:t>25. Given the relatively low market share of the parties involved in the merger, several significant competitors (Benteler, GKN), and the high level of in-house production by automotive manufacturers, the emergence or strengthening of a dominant market position is not to be expected.</w:t>
      </w:r>
    </w:p>
    <w:p>
      <w:r>
        <w:rPr>
          <w:b/>
        </w:rPr>
        <w:t>[Pages 10–12]</w:t>
      </w:r>
    </w:p>
    <w:p>
      <w:r>
        <w:t>of a dominant market position is not to be expected. It can also be ruled out that the merger will lead to the establishment of a joint dominant position of the parties to the merger together with Benteler (and possibly GKN), as the manufacturers on the demand side are faced with the highly concentrated and well-informed automotive industry, which can counteract non-competitive parallel behavior, among other things, through increased in-house production and the structuring of procurement.</w:t>
      </w:r>
    </w:p>
    <w:p>
      <w:r>
        <w:t xml:space="preserve">B.2 Non-Overlapping Areas  </w:t>
        <w:br/>
        <w:t>26. The parties to the merger achieve market shares in the following product markets in individual Member States, with EU or EEA-wide delineation of more than 25%: truck chassis, braking systems for rail vehicles, coil springs for passenger cars and light commercial vehicles, leaf springs for commercial vehicles, starter rings and flywheels for gasoline and diesel engines. However, the intended merger does not lead to market share additions, as only one of the two companies involved in the merger operates in the relevant product markets. In these cases, the Commission has thoroughly examined whether the intended merger would lead to a significant strengthening of the existing market positions through improved access to sales and procurement markets, increased integration into vertically upstream or downstream markets, or through the increase of financial or other resources. The Commission has concluded, after reviewing all relevant circumstances and based on the information provided by the parties, that in none of these non-overlapping areas is the establishment or strengthening of a dominant position to be expected.</w:t>
      </w:r>
    </w:p>
    <w:p>
      <w:r>
        <w:t xml:space="preserve">C. Industrial Sector  </w:t>
        <w:br/>
        <w:t>27. The activities of Thyssen and Krupp in the field of industrial plants and production systems will be consolidated in the newly formed management company Thyssen Krupp Industries AG. The future industrial sector will achieve a worldwide total turnover of approximately [...] billion ECU.</w:t>
      </w:r>
    </w:p>
    <w:p>
      <w:r>
        <w:t xml:space="preserve">C.1.1 Escalators - New Installation Business  </w:t>
        <w:br/>
        <w:t xml:space="preserve">a) Relevant Market  </w:t>
        <w:br/>
        <w:t>28. There is a demand for escalators essentially in two different areas. On the one hand, in the public transport sector at airports, long-distance and underground train stations, and on the other hand, in commercial traffic in department stores, administrations, and office buildings. Escalators in the public transport sector are in operation on average 22 hours a day and must handle a relatively high (intermittent) traffic density (users per unit of time). The required lifting height is usually 20-30 m but can reach up to 50 m, especially in train stations. Due to their location, public escalators are exposed to extreme weather conditions and temperature fluctuations. In contrast, the daily operating times of escalators in commercial traffic rarely exceed 10 hours. Both the lifting height (floor height, max. 4-5 m) and the daily traffic density to be managed are significantly lower. The location as an indoor staircase excludes extreme weather conditions. There are significant differences between the two areas of use regarding quality, construction, characteristics, and functionality of the escalators. Furthermore, public escalators are developed according to the specific requirements of the demanders, while in commercial traffic, mainly standard models are used. For these reasons, the price for public escalators is on average 150% to 500% higher than the price for commercial escalators. In this case - based on the above findings - it can be assumed that escalators for public transport and escalators for commercial traffic are not directly interchangeable with each other, thus representing two separate relevant product markets.</w:t>
      </w:r>
    </w:p>
    <w:p>
      <w:r>
        <w:t>29. According to the parties to the merger, the geographically relevant markets for escalators should be delineated on an EU-wide basis. This is supported by the fact that all significant providers of escalators operate across Europe and that the competitive conditions in the individual Member States do not differ significantly. The Commission has found no indication that the geographically relevant markets in this case should be delineated nationally or regionally.</w:t>
      </w:r>
    </w:p>
    <w:p>
      <w:r>
        <w:t xml:space="preserve">b) Effects of the Merger  </w:t>
        <w:br/>
        <w:t xml:space="preserve">aa) Market Structure  </w:t>
        <w:br/>
        <w:t>30. The markets for escalators for public and commercial traffic are highly concentrated. In addition to Thyssen, which has market shares of 25-30% in the public escalator market and 20-25% in the commercial escalator market, there are practically only three other competitors active in both markets: Kone (24-29% and 18-23%), Otis (23-28% and 30-35%), and Schindler (16-21% and 20-25%). Market entries by non-European manufacturers of escalators into the Community are not expected in the short to medium term, as the maintenance and repair intensity of escalators generally requires the establishment of a comprehensive network of locally operating service units. While escalator manufacturers could also outsource maintenance contracts to independent maintenance companies, these are usually employed by one of the leading competitors. Furthermore, the safety regulations, rules, technical standards, and norms in the Community differ from those in other regions.</w:t>
      </w:r>
    </w:p>
    <w:p>
      <w:r>
        <w:t xml:space="preserve">bb) The Interconnections between Krupp and Kone  </w:t>
        <w:br/>
        <w:t>31. In 1996, Krupp sold its 60% stake in the German O&amp;K Rolltreppen GmbH in exchange for a 10% stake in the nominal and voting capital of the parent company of the Finnish Kone Group through an asset swap. In connection with this asset swap, a shareholders' agreement ("Shareholders Agreement") was concluded between Krupp and the three main shareholders of Kone Oy, who together hold 64% of the voting rights, which provides for certain rights for Krupp. Furthermore, the main shareholders have committed to elect a representative of Krupp to the six-member board of directors of Kone. This corporate body exercises extensive supervisory and management powers under Finnish company law. Both agreements remain valid as long as Krupp's share in Kone does not fall below 5%.</w:t>
      </w:r>
    </w:p>
    <w:p>
      <w:r>
        <w:t>32. Furthermore, Krupp agreed to certain provisions regarding the escalator markets in favor of Kone in the share purchase agreement concerning O&amp;K Rolltreppen GmbH dated [...] 1996. Additionally, Krupp entered into similar obligations regarding the elevator market in a contract executed pursuant to the Shareholders Agreement between the main shareholders of Kone and Krupp ("Master Agreement") dated [...] 1996. Finally, both companies maintain a joint venture in China through a joint holding company in the Netherlands, which manufactures and distributes elevators and escalators for the local market. According to the shareholders' agreement, the joint venture will not operate in the EU for the next five years.</w:t>
      </w:r>
    </w:p>
    <w:p>
      <w:r>
        <w:t>33. As a result of the notified merger, the escalator business of Thyssen and the capital and personnel interconnections of Krupp with Kone will be consolidated into one company. Although the mentioned connections are not sufficient to qualify Thyssen/Krupp and Kone as dependent or affiliated companies within the meaning of Article 5(4) of the Merger Regulation after the merger, horizontal interconnections between competitors must be taken into account in the overall competitive assessment under Article 2 of the Merger Regulation. The connections between Krupp and Kone raise concerns that there could be a significant reduction in the current competition between Thyssen and Kone in the future and that there could be mutual consideration between the two companies. There is a risk that Thyssen, after the merger with Krupp, will gain access to competitively relevant information about the future business policy of Kone through its representative on Kone's board of directors, particularly regarding business strategies, product developments, and operational business, which would normally not be accessible to a pure minority shareholder. […] Given the significant information and influence opportunities of Thyssen/Krupp and the resources available to this company in competition, it cannot currently be ruled out that Kone may subordinate itself to the strategic corporate planning of Thyssen after the merger. Furthermore, it cannot be ruled out that Thyssen/Krupp will unilaterally take into account the strategic interests of Kone or that both companies will behave largely in parallel in competition due to the connections between them.</w:t>
      </w:r>
    </w:p>
    <w:p>
      <w:r>
        <w:t>34. In the market for escalators for public transport, Thyssen/Krupp and Kone achieve a combined market share of 49-59%, followed by Otis (23-28%) and Schindler (16-21%). In light of the already very high supply concentration and the high barriers to market entry for potential competitors prior to the merger, the connection created by the merger between the two leading manufacturers of escalators results in a significant deterioration of the market structure and competitive conditions. Based on the current investigation results, there are significant indications that the notified merger will lead to the establishment or strengthening of a dominant position in the market for escalators for public transport.</w:t>
      </w:r>
    </w:p>
    <w:p>
      <w:r>
        <w:rPr>
          <w:b/>
        </w:rPr>
        <w:t>[Pages 13–15]</w:t>
      </w:r>
    </w:p>
    <w:p>
      <w:r>
        <w:t>deterioration of market structure and competitive conditions. Based on the current investigation results, there are significant indications that the notified merger will lead to the creation or strengthening of a dominant market position of Thyssen/Krupp, including Kone, in the market for escalators for public transport. However, Krupp has made commitments to the Commission that eliminate these significant competitive concerns (see below paragraph 35).</w:t>
      </w:r>
    </w:p>
    <w:p>
      <w:r>
        <w:t xml:space="preserve">cc) The amendments to the original merger  </w:t>
        <w:br/>
        <w:t>35. The text of the commitments is attached to this decision as Annex 1 and is an integral part of the decision. The commitments alter the effects of the originally intended merger. Accordingly, Krupp irrevocably and permanently waives the right to appoint a member of the board of directors of Kone and to send a representative to this body. Furthermore, Krupp has committed to irrevocably and permanently waive […] [certain other rights regarding] Kone. […] Krupp has also stated that it will promptly initiate negotiations with Kone with the aim of terminating […] [the existing agreement] in the area of escalators no later than the execution of the present merger between Thyssen and Krupp. […] [This agreement] will not be considered a side agreement within the meaning of Article 8(2) second subparagraph of the Merger Regulation by the above decision regarding the compatibility of the merger with the Common Market, as […] [it] is not directly related to the implementation of the merger under review here. Therefore, this decision does not prejudge the possible initiation of proceedings under Article 85 EC Treaty […].</w:t>
      </w:r>
    </w:p>
    <w:p>
      <w:r>
        <w:t>36. The commitments made by Krupp eliminate the competitively relevant connections to Kone and address the significant competitive concerns of the Commission in the market for escalators for public transport. The Commission has therefore concluded that the merger project in the escalator markets will not lead to the creation or strengthening of a dominant position.</w:t>
      </w:r>
    </w:p>
    <w:p>
      <w:r>
        <w:t xml:space="preserve">C.1.2 Elevators - New Installation Business  </w:t>
        <w:br/>
        <w:t xml:space="preserve">a) Relevant Market  </w:t>
        <w:br/>
        <w:t>1. The relevant product market for elevators is, according to the parties to the merger, to be defined on an EU-wide basis. This is supported by the fact that all significant elevator providers operate across Europe and that the competitive conditions in the individual Member States do not differ significantly. The Commission has no indication that the geographically relevant markets in this case should be defined nationally or regionally.</w:t>
      </w:r>
    </w:p>
    <w:p>
      <w:r>
        <w:t xml:space="preserve">b) Effects of the Merger  </w:t>
        <w:br/>
        <w:t>2. The elevator market is also relatively highly concentrated. In addition to Thyssen with a market share of 10-15%, there are only three other major competitors in the market: Otis (24-29%), Schindler (13-18%), and Kone (12-17%). Market entries by non-European elevator manufacturers into the Community are not expected in the short to medium term, as the maintenance and repair intensity of elevators generally requires the establishment of a comprehensive network of locally operating service units. Furthermore, the safety regulations, rules, technical standards, and norms in the Community differ from those in other regions.</w:t>
      </w:r>
    </w:p>
    <w:p>
      <w:r>
        <w:t>3. The intended merger does not lead to an addition of market shares, as Krupp is not active in the elevator market itself. However, there are the capital and personnel interconnections between Krupp and Kone as described above (see above paragraphs 31 et seq.). To address competitive concerns in the escalator market, Krupp has made several commitments (see above paragraph 35). Furthermore, Krupp has stated that it will promptly initiate negotiations with Kone with the aim of terminating […] [the agreement] in the area of elevators no later than the execution of the present merger between Thyssen and Krupp. […] [The agreement] will not be considered a side agreement within the meaning of Article 8(2) second subparagraph of the Merger Regulation by the above decision regarding the compatibility of the merger with the Common Market, as […] [it] is not directly related to the implementation of the merger under review here […]. Therefore, this decision does not prejudge the possible initiation of proceedings under Article 85 EC Treaty regarding […] [the] mentioned […] [agreement]. Given that Thyssen/Krupp and Kone combined are not significantly larger than Otis and that the commitments made by Krupp eliminate the competitively relevant connections to Kone, the Commission has concluded that the merger project in the elevator market will not lead to the creation or strengthening of a dominant position.</w:t>
      </w:r>
    </w:p>
    <w:p>
      <w:r>
        <w:t xml:space="preserve">C.1.3 Non-Overlapping Areas  </w:t>
        <w:br/>
        <w:t>4. The parties to the merger achieve market shares in the following product markets in individual Member States, with EU or EEA-wide delineation of over 25%: passenger boarding and deboarding systems, industrial handling technology, drives and drive components for civil tracked vehicles, hydraulic hammers, precision parts for jet engines, extrusion blow molding machines, machines for the production of three-part sheet packages, mixing room equipment for the rubber and tire industry, machines for tire building, machines for tire vulcanization, spare parts and services for plastic processing machines. However, the intended merger does not lead to market share additions, as only one of the two companies involved in the merger is active in the relevant product markets. In these cases, the Commission has thoroughly examined whether the intended merger would lead to a significant strengthening of existing market positions through improved access to sales and procurement markets, increased integration into vertically upstream or downstream markets, or through the increase of financial or other resources. After reviewing all relevant circumstances and based on the information provided by the parties, the Commission has concluded that in none of these non-overlapping areas is the creation or strengthening of a dominant market position to be expected.</w:t>
      </w:r>
    </w:p>
    <w:p>
      <w:r>
        <w:t xml:space="preserve">D. Engineering Sector  </w:t>
        <w:br/>
        <w:t>5. The activities of Thyssen and Krupp in the field of plant engineering will be consolidated in the newly formed management company Thyssen Krupp Engineering AG. The future engineering sector will achieve a global total turnover of approximately [...] billion ECU.</w:t>
      </w:r>
    </w:p>
    <w:p>
      <w:r>
        <w:t xml:space="preserve">D.1 Overlapping Areas  </w:t>
        <w:br/>
        <w:t xml:space="preserve">D.1.1 Coke Oven Batteries  </w:t>
        <w:br/>
        <w:t xml:space="preserve">a) Relevant Market  </w:t>
        <w:br/>
        <w:t>6. Coke oven batteries, along with coke oven operation machines and coke oven gas treatment plants, are the central components of a coke plant. The relevant market includes the construction of completely new coke oven batteries and the fundamental renovation of existing plants, as well as the modernization and repair of coke oven batteries. Coke oven batteries are offered and demanded across borders in the Community, so an EU-wide market is to be assumed.</w:t>
      </w:r>
    </w:p>
    <w:p>
      <w:r>
        <w:t xml:space="preserve">b) Effects of the Merger  </w:t>
        <w:br/>
        <w:t>7. The EU market volume for new construction, modernization, and repair of coke oven batteries was estimated by the parties to be 50 million ECU in 1997. The parties to the merger achieved a combined market share of approximately [20-30%] (Thyssen: approx. [15-25%]; Krupp: approx. [&lt; 10%]). Significant current competitors include Hoogovens Technical Services, Hepworth Refractories, and Magnindag, each with market shares of under 10%. It should be noted that this is a stagnant market, where significant new construction activities are not expected in the coming years. Furthermore, there are significant potential competitors from Eastern Europe and Asia, who can exert effective disciplinary pressure due to the lack of significant market entry barriers. Under these circumstances, it is not expected that the merger will lead to the creation of a dominant market position.</w:t>
      </w:r>
    </w:p>
    <w:p>
      <w:r>
        <w:t xml:space="preserve">D.1.2 Coke Oven Gas Treatment Plants  </w:t>
        <w:br/>
        <w:t xml:space="preserve">a) Relevant Market  </w:t>
        <w:br/>
        <w:t>8. Coke oven gas treatment plants, along with coke oven batteries and coke oven operation machines, are the central components of a coke plant. The relevant market includes the new construction, modernization, and repair of coke oven gas treatment plants. Coke oven gas treatment plants are offered and demanded across borders in the Community, so an EU-wide market is to be assumed.</w:t>
      </w:r>
    </w:p>
    <w:p>
      <w:r>
        <w:t xml:space="preserve">b) Effects of the Merger  </w:t>
        <w:br/>
        <w:t>9. The EU market volume for new construction, modernization, and repair of coke oven gas treatment plants was estimated by the parties to be 27 million ECU in 1997. Thyssen achieved a market share of approximately [50-60%], while Krupp was only active in the area of basic engineering and holds no current market shares. The most significant competitor is Steiner, with a market share of approximately 15%. In assessing the competitive situation...</w:t>
      </w:r>
    </w:p>
    <w:p>
      <w:r>
        <w:rPr>
          <w:b/>
        </w:rPr>
        <w:t>[Pages 16–18]</w:t>
      </w:r>
    </w:p>
    <w:p>
      <w:r>
        <w:t xml:space="preserve">Effects of the Merger  </w:t>
        <w:br/>
        <w:t>It should be taken into account that the market shares of the parties have significantly decreased in recent years and that the market shares also fluctuate considerably. The relatively high market share of Thyssen results solely from a business transaction in Belgium. Overall, however, it is a stagnant market where significant new construction activities are not expected in the coming years. Furthermore, there are significant potential competitors from Eastern Europe and Asia that exert effective competitive pressure due to the lack of substantial barriers to market entry. Under these circumstances, it is not expected that the merger will lead to the creation of a dominant market position.</w:t>
      </w:r>
    </w:p>
    <w:p>
      <w:r>
        <w:t xml:space="preserve">D.2 Non-Overlapping Areas  </w:t>
        <w:br/>
        <w:t>10. In the German market for assemblies for heavy armored military vehicles, Thyssen achieves a market share of approximately [70-80%]. However, the intended merger does not lead to market share additions because Krupp is not active in this area. The Commission has thoroughly examined whether the intended merger would lead to a significant strengthening of the existing market position through improved access to sales and procurement markets, increased integration into vertically upstream or downstream markets, or through the increase of financial or other resources. After reviewing all relevant circumstances and based on the information provided by the parties, the Commission has concluded that the creation or strengthening of a dominant market position is not expected in the affected market.</w:t>
      </w:r>
    </w:p>
    <w:p>
      <w:r>
        <w:t xml:space="preserve">E. Business Area Trade  </w:t>
        <w:br/>
        <w:t>11. The activities of Thyssen and Krupp in the trade of steel products and other materials and raw materials (particularly scrap or steel recycling, trade in solid fuels and coke) as well as in the areas of industrial and environmentally relevant services will be consolidated in the newly formed management company Thyssen Krupp Trading AG. The future business area trade will achieve a worldwide total turnover of approximately [...] billion ECU. Market shares of over 25% are not reached in all affected trading markets even at the national level. Against this background and in view of a large number of competitors, the creation or strengthening of dominant market positions is not expected.</w:t>
      </w:r>
    </w:p>
    <w:p>
      <w:r>
        <w:t xml:space="preserve">VI. RESULT  </w:t>
        <w:br/>
        <w:t>12. Based on the findings above, particularly in light of the commitments made by Krupp, the Commission has concluded that the notified merger project will not lead to the creation or strengthening of a dominant position in the affected markets and therefore does not raise serious concerns regarding its compatibility with the Common Market or the EEA Agreement.</w:t>
      </w:r>
    </w:p>
    <w:p>
      <w:r>
        <w:t>13. For these reasons, the Commission has decided to declare the merger compatible with the Common Market and the EEA Agreement, subject to the fulfillment of the commitments set out in paragraph 35. This decision is based on Article 6(1)(b) of the Merger Regulation and Article 57 of the EEA Agreement.</w:t>
      </w:r>
    </w:p>
    <w:p>
      <w:r>
        <w:t xml:space="preserve">For the Commission  </w:t>
        <w:br/>
        <w:t>- Annex</w:t>
      </w:r>
    </w:p>
    <w:p>
      <w:r>
        <w:t xml:space="preserve">Annex 1 to the decision of 2.06.1998  </w:t>
        <w:br/>
        <w:t xml:space="preserve">KRUPP  </w:t>
        <w:br/>
        <w:t xml:space="preserve">Fried. Krupp AG Hoesch-Krupp, 45117 Essen Altendorfer Straße 103, 45143 Essen  </w:t>
        <w:br/>
        <w:t xml:space="preserve">Telephone: (0201) 188-1, Fax: (0201) 188-41 00  </w:t>
        <w:br/>
        <w:t xml:space="preserve">Telex: 857 385 fkes d. Cable krupp essen  </w:t>
        <w:br/>
        <w:t xml:space="preserve">European Commission  </w:t>
        <w:br/>
        <w:t xml:space="preserve">Directorate-General IV - Competition  </w:t>
        <w:br/>
        <w:t xml:space="preserve">Directorate B - Task Force "Merger Control" Essen, 07.05.1998  </w:t>
        <w:br/>
        <w:t xml:space="preserve">Case No. IV/M. 1080 - Thyssen/Krupp  </w:t>
        <w:br/>
        <w:t xml:space="preserve">Dear Sir or Madam,  </w:t>
        <w:br/>
        <w:t xml:space="preserve">Following our meeting with the Merger Task Force on 04.05.1998 and our telephone conversations on 05. and 06.05.1998, we would like to submit the commitments agreed upon between us and Thyssen AG to address the competitive concerns raised by the Merger Task Force:  </w:t>
        <w:br/>
        <w:t xml:space="preserve">1. In the Shareholders Agreement dated [...] 1995 between Fried. Krupp AG Hoesch-Krupp and [...] as controlling shareholders of Kone Oy, § 4 grants Fried. Krupp AG Hoesch-Krupp (hereinafter referred to as Krupp) the right to appoint a member of the Board of Directors of Kone Oy. Upon the effectiveness of the merger of Thyssen AG and Fried. Krupp AG Hoesch-Krupp, Krupp irrevocably and permanently waives this right. At that time, Dr. Cromme will relinquish his seat on the Board of Directors of Kone Oy.  </w:t>
        <w:br/>
        <w:t xml:space="preserve">Fried. Krupp AG Hoesch-Krupp Honorary Chairman: Prof. Dr. h.c. mult. Berthold Beitz  </w:t>
        <w:br/>
        <w:t xml:space="preserve">Registered Office: Essen and Dortmund Chairman of the Supervisory Board: Dr.-Ing. Manfred Lannings  </w:t>
        <w:br/>
        <w:t xml:space="preserve">Commercial Register: District Court Essen, Section B No. 9633 Executive Board: Dr. Gerhard Cromme, Chairman  </w:t>
        <w:br/>
        <w:t xml:space="preserve">District Court Dortmund, Section B No. 10455 Dr. Friedrich Clever, Dr. Gerhard Jooss  </w:t>
        <w:br/>
        <w:t>Dr. Ulrich Middelmann, Jürgen Rossberg</w:t>
      </w:r>
    </w:p>
    <w:p>
      <w:r>
        <w:rPr>
          <w:b/>
        </w:rPr>
        <w:t>[Pages 19–20]</w:t>
      </w:r>
    </w:p>
    <w:p>
      <w:r>
        <w:t>Board of Directors of Kone Oy will resign. From the approval of the merger project by the European Commission/Merger Task Force, neither Dr. Cromme nor any other representative of Krupp will participate in meetings of the Board of Directors of Kone Oy. Krupp will derive no claims from the obligation of the Controlling Shareholders to agree to the appointment of a “Director” designated by Krupp.</w:t>
      </w:r>
    </w:p>
    <w:p>
      <w:r>
        <w:t>2. The same Shareholders Agreement provides in §§ 2(d) and (e) […][certain contractual rights] in favor of Krupp. Upon the entry into force of the Thyssen Krupp merger, Krupp will irrevocably and permanently waive […][these rights]. Krupp will derive no claims from […][these rights] in the future. […]</w:t>
      </w:r>
    </w:p>
    <w:p>
      <w:r>
        <w:t>3. The Master Agreement concluded on [...] 1996 in execution of the Shareholders Agreement […][contains provisions regarding the elevator market] in its § 8. The share purchase agreement between Krupp and Kone Holding Deutschland GmbH dated [...] 1996 regarding the participation in O&amp;K Rolltreppen GmbH provides for […][corresponding provisions in the area of escalators]. Krupp undertakes to promptly initiate negotiations with Kone aimed at the repeal of […][these provisions] immediately after the approval of the Thyssen Krupp merger. Krupp will regularly inform the Commission, at least every 2 months, about the status of the negotiations with Kone.</w:t>
      </w:r>
    </w:p>
    <w:p>
      <w:r>
        <w:t>[...]</w:t>
      </w:r>
    </w:p>
    <w:p>
      <w:r>
        <w:t>We make these commitments in the confidence that we have alleviated the competitive concerns of the Commission and to enable the Commission to refrain from initiating the second phase of the proceedings under the Merger Regulation.</w:t>
      </w:r>
    </w:p>
    <w:p>
      <w:r>
        <w:t xml:space="preserve">Best regards,  </w:t>
        <w:br/>
        <w:t xml:space="preserve">FRIED. KRUPP AG HOESCH-KRUPP  </w:t>
        <w:br/>
        <w:t>[signature]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