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German</w:t>
      </w:r>
    </w:p>
    <w:p>
      <w:r>
        <w:t>Source URL       : https://ec.europa.eu/competition/mergers/cases/decisions/m12_de.pdf</w:t>
      </w:r>
    </w:p>
    <w:p>
      <w:r>
        <w:t>Pages translated : 21</w:t>
      </w:r>
    </w:p>
    <w:p/>
    <w:p>
      <w:r>
        <w:rPr>
          <w:b/>
        </w:rPr>
        <w:t>[Pages 1–3]</w:t>
      </w:r>
    </w:p>
    <w:p>
      <w:r>
        <w:t>DECISION OF THE COMMISSION</w:t>
        <w:br/>
        <w:t>of July 31, 1991</w:t>
        <w:br/>
        <w:t>on the compatibility of a concentration with</w:t>
        <w:br/>
        <w:t>the Common Market</w:t>
        <w:br/>
        <w:t>Case IV/M012 - Varta/Bosch</w:t>
        <w:br/>
        <w:t>pursuant to Regulation (EEC) No. 4064/89 of the Council</w:t>
        <w:br/>
        <w:t>(Only the German text is authoritative)</w:t>
      </w:r>
    </w:p>
    <w:p>
      <w:r>
        <w:t>THE COMMISSION OF THE EUROPEAN COMMUNITIES -</w:t>
        <w:br/>
        <w:t>having regard to the Treaty establishing the European</w:t>
        <w:br/>
        <w:t>Economic Community,</w:t>
        <w:br/>
        <w:t>having regard to Council Regulation (EEC) No. 4064/89 of December 21,</w:t>
        <w:br/>
        <w:t>1989 on the control of concentrations between undertakings(1), in particular Article 8(2),</w:t>
        <w:br/>
        <w:t>having regard to the request of the German Federal Cartel Office of</w:t>
        <w:br/>
        <w:t>March 18, 1991 for referral of the case pursuant to Article 9(2)</w:t>
        <w:br/>
        <w:t>of the aforementioned Regulation,</w:t>
        <w:br/>
        <w:t>having regard to the Commission's decision of April 12,</w:t>
        <w:br/>
        <w:t>1991 to initiate proceedings in this case,</w:t>
        <w:br/>
        <w:t>after the parties involved were given the opportunity</w:t>
        <w:br/>
        <w:t>to respond to the objections raised by the Commission,</w:t>
        <w:br/>
        <w:t>after hearing the Advisory Committee on concentrations,</w:t>
        <w:br/>
        <w:t>considering the following reasons:</w:t>
      </w:r>
    </w:p>
    <w:p>
      <w:r>
        <w:t>(1) OJ No. L 257 of September 21, 1990</w:t>
      </w:r>
    </w:p>
    <w:p>
      <w:r>
        <w:t>I. THE CONCENTRATION</w:t>
        <w:br/>
        <w:t>I. The planned concentration was notified on February 25, 1991. It concerns the establishment of the new</w:t>
        <w:br/>
        <w:t>company Starterbatterie GmbH by Varta Batterie AG (Varta) and R. Bosch GmbH (Bosch), into which the</w:t>
        <w:br/>
        <w:t>companies will contribute their respective business areas</w:t>
        <w:br/>
        <w:t>of starter batteries. Varta will hold a 65% stake and Bosch a 35% stake in the new</w:t>
        <w:br/>
        <w:t>company.</w:t>
        <w:br/>
        <w:t>II. The notified project is a concentration pursuant to</w:t>
        <w:br/>
        <w:t>Article 3(1)(b) and (2) of Regulation (EEC) No. 4064/89.</w:t>
        <w:br/>
        <w:t>III. Varta and Bosch will jointly exercise control over the new</w:t>
        <w:br/>
        <w:t>company. The representation of the two parent companies in the management and the</w:t>
        <w:br/>
        <w:t>supervisory body of the new company is regulated in a</w:t>
        <w:br/>
        <w:t>framework agreement. According to this, both contracting</w:t>
        <w:br/>
        <w:t>parties have, among other things, the right to appoint the managing directors of the</w:t>
        <w:br/>
        <w:t>joint venture. A 75% majority is required for certain</w:t>
        <w:br/>
        <w:t>decisions that are directly related to the</w:t>
        <w:br/>
        <w:t>management of the new company. This applies, for example, to the</w:t>
        <w:br/>
        <w:t>approval of detailed budget plans of the</w:t>
        <w:br/>
        <w:t>joint venture or to the appointment and</w:t>
        <w:br/>
        <w:t>dismissal of the managing directors and members of the</w:t>
        <w:br/>
        <w:t>management and supervisory bodies of the subsidiaries</w:t>
        <w:br/>
        <w:t>of the new company, thereby ensuring both parties' influence</w:t>
        <w:br/>
        <w:t>on the management of Starterbatterie GmbH. In addition,</w:t>
        <w:br/>
        <w:t>Varta and Bosch are equally represented in the</w:t>
        <w:br/>
        <w:t>supervisory body of the joint venture.</w:t>
        <w:br/>
        <w:t>IV. The new company will permanently perform all functions of an</w:t>
        <w:br/>
        <w:t>independent economic entity. Starterbatterie GmbH will develop,</w:t>
        <w:br/>
        <w:t>produce, and distribute starter batteries. It will be economically independent of its</w:t>
        <w:br/>
        <w:t>parent companies and will independently shape its corporate policy.</w:t>
        <w:br/>
        <w:t>V. Varta and Bosch intend to transfer their national and</w:t>
        <w:br/>
        <w:t>international starter battery business, including</w:t>
        <w:br/>
        <w:t>product-related R&amp;D as well as production and</w:t>
        <w:br/>
        <w:t>distribution facilities, to the joint venture and withdraw from this area of activity.</w:t>
        <w:br/>
        <w:t>Although Bosch will sell part of the starter batteries produced in the</w:t>
        <w:br/>
        <w:t>joint venture through its own distribution network for other automotive parts,</w:t>
        <w:br/>
        <w:t>it will only act as a commission agent on instruction and for</w:t>
        <w:br/>
        <w:t>the account of Starterbatterie GmbH. From an</w:t>
        <w:br/>
        <w:t>economic perspective, it is unlikely that either of the companies will re-enter the market as an independent</w:t>
        <w:br/>
        <w:t>supplier. Varta will continue to manufacture other battery products (traction batteries, stationary</w:t>
        <w:br/>
        <w:t>batteries), while Bosch will continue to produce automotive parts as before. However, the Commission sees no indication</w:t>
        <w:br/>
        <w:t>that the establishment of the</w:t>
        <w:br/>
        <w:t>joint venture will adversely affect competition</w:t>
        <w:br/>
        <w:t>in the aforementioned business areas of the two</w:t>
        <w:br/>
        <w:t>companies. Coordination of the competitive behavior of the companies that remain independent is not to be expected in this regard.</w:t>
      </w:r>
    </w:p>
    <w:p>
      <w:r>
        <w:t>II COMMUNITY-WIDE SIGNIFICANCE</w:t>
        <w:br/>
        <w:t>VI. The planned concentration is of community-wide significance. The</w:t>
        <w:br/>
        <w:t>turnover achieved worldwide by the parties in 1989 (Varta: 1 billion ECU; Bosch: 15 billion ECU) and the</w:t>
        <w:br/>
        <w:t>community-wide turnover (Varta: 0.7 billion ECU; Bosch:</w:t>
        <w:br/>
        <w:t>11 billion ECU) exceed the thresholds set out in Article 1(2) of</w:t>
        <w:br/>
        <w:t>Regulation (EEC) No. 4064/89. Varta and Bosch do not achieve more than two-thirds</w:t>
        <w:br/>
        <w:t>of their community-wide turnover in the same</w:t>
        <w:br/>
        <w:t>Member State.</w:t>
      </w:r>
    </w:p>
    <w:p>
      <w:r>
        <w:t>III THE PARTIES</w:t>
        <w:br/>
        <w:t>VII. Varta is the largest German battery manufacturer</w:t>
        <w:br/>
        <w:t>(automotive batteries, industrial batteries,</w:t>
        <w:br/>
        <w:t>household batteries) and one of the largest</w:t>
        <w:br/>
        <w:t>battery manufacturers in the EEC. The company supplies starter batteries to both</w:t>
        <w:br/>
        <w:t>automobile manufacturers and resellers in all Member States.</w:t>
        <w:br/>
        <w:t>VIII. Bosch is active worldwide as a manufacturer of</w:t>
        <w:br/>
        <w:t>automotive parts including starter batteries, telecommunications devices, and consumer goods.</w:t>
        <w:br/>
        <w:t>To date, the company has mainly offered automotive batteries</w:t>
        <w:br/>
        <w:t>for the replacement equipment market, where it is well established throughout Europe. Bosch serves the</w:t>
        <w:br/>
        <w:t>original equipment market primarily in Spain through</w:t>
        <w:br/>
        <w:t>its Spanish subsidiary FEMSA.</w:t>
      </w:r>
    </w:p>
    <w:p>
      <w:r>
        <w:t>IV DECISIONS MADE BY THE COMMISSION DURING THE PROCEEDINGS</w:t>
        <w:br/>
        <w:t>1. Decision to initiate proceedings</w:t>
      </w:r>
    </w:p>
    <w:p>
      <w:r>
        <w:rPr>
          <w:b/>
        </w:rPr>
        <w:t>[Pages 4–6]</w:t>
      </w:r>
    </w:p>
    <w:p>
      <w:r>
        <w:t>IX. After examining the notification, the Commission concluded that there were serious doubts regarding the compatibility of the notified concentration with the Common Market. It therefore decided on April 12, 1991, to initiate proceedings pursuant to Article 6(1)(c) of Regulation (EEC) No. 4064/89.</w:t>
      </w:r>
    </w:p>
    <w:p>
      <w:r>
        <w:t>2. Statement of Objections</w:t>
      </w:r>
    </w:p>
    <w:p>
      <w:r>
        <w:t>X. Following investigations with numerous companies active in the relevant markets as competitors or customers, the Commission sent the parties its Statement of Objections on May 24, 1991, raising concerns regarding the automotive replacement battery market in Germany and Spain.</w:t>
      </w:r>
    </w:p>
    <w:p>
      <w:r>
        <w:t>XI. The objections contained in the Statement of Objections can be summarized as follows:</w:t>
        <w:br/>
        <w:t>a) The relevant product market</w:t>
      </w:r>
    </w:p>
    <w:p>
      <w:r>
        <w:t>XII. The starter battery sector is to be divided into two distinct product markets:</w:t>
        <w:br/>
        <w:t>- the original equipment market (OE market), which describes the sale of starter batteries to the automotive industry for installation in new motor vehicles,</w:t>
        <w:br/>
        <w:t>- the trade market, which concerns the sale of starter batteries to the trade as replacement batteries for used motor vehicles.</w:t>
      </w:r>
    </w:p>
    <w:p>
      <w:r>
        <w:t>XIII. The assumption of two relevant product markets is not primarily based on differences in the products themselves or on differences in their function. It is mainly based on the fact that the competitive conditions in the trade market differ significantly from those in the original equipment market, resulting in manufacturers having to adapt their economic and business decisions to the different requirements posed by the two markets.</w:t>
      </w:r>
    </w:p>
    <w:p>
      <w:r>
        <w:t>XIV. In principle, the OE market is characterized by its specific demand side, the automotive industry, which gives a particular shape to the overall demand. Supplying the OE market particularly means the steady demand for a limited number of battery types (Bosch ...*, Varta ...**) from a limited number of customers. As indicated by the information provided by the parties involved in their notification, Varta sold ...***% and Bosch ...***% of their respective sales volumes to five customers in the original equipment market. Regarding the nature of the products, original equipment batteries must meet specific specifications required by the car manufacturers (Bosch, Varta, letter of March 8, 1991, page 4). They are delivered wet on special pallets (Bosch: letter of October 30, 1990, page 2). Quality and standards, including the 100% reliability of the products, are prescribed and controlled by the car manufacturers. Supplying the original equipment market regularly involves R&amp;D cooperation with car manufacturers for new products, enabling suppliers to keep pace with the latest technological developments in the market. Furthermore, supplying the OE market means just-in-time delivery to a small number of customers.</w:t>
      </w:r>
    </w:p>
    <w:p>
      <w:r>
        <w:t>XV. In contrast, supplying the trade market is subject to strong seasonal fluctuations in demand for a large number of battery types (Bosch: ...*; Varta: ...**) from a variety of different traders, ranging from purchasing organizations, wholesalers, car manufacturers, retail chains to retailers. Regarding the nature of the products, replacement batteries, including those sold to car manufacturers, are generally adapted to common standards, allowing the same battery type to be used for several vehicles from different manufacturers (Varta, Bosch: letter of March 8, 1991, page 4). Replacement batteries are usually delivered dry. Quality and standards are not checked by customers (Varta, Bosch: letter of March 8, 1991, page 5), and there is also no feedback or cooperation regarding the R&amp;D of new products. Supplying the trade markets requires a distribution and customer service network, as a number of customers demand the supply of individual sales points and customer services.</w:t>
      </w:r>
    </w:p>
    <w:p>
      <w:r>
        <w:t>XVI. The distinction between the OE market and the trade market is commonly accepted in the industry (Bosch: letter of October 30, 1990, page 2). It has essentially been confirmed by the European Court of Justice for truck tires (see ECJ, Michelin Industry v. Commission, ECR 1983 p. 3461). The parties, who consider such a distinction unjustified in the present case, have nevertheless made a clear distinction between the two markets in practice. In the organization of the new joint venture, there are two separate business areas for the OE market and trade distribution with different managers (Framework Agreement § 3.1).</w:t>
      </w:r>
    </w:p>
    <w:p>
      <w:r>
        <w:t>b) The relevant geographic market</w:t>
      </w:r>
    </w:p>
    <w:p>
      <w:r>
        <w:t>XVII. It can be assumed that the trade markets for replacement batteries in Germany and Spain are still national markets. Investigations have shown that sufficiently homogeneous competitive conditions exist in both countries.</w:t>
      </w:r>
    </w:p>
    <w:p>
      <w:r>
        <w:rPr>
          <w:b/>
        </w:rPr>
        <w:t>[Pages 7–9]</w:t>
      </w:r>
    </w:p>
    <w:p>
      <w:r>
        <w:t>exist, which differ significantly from those in other Member States, to establish separate geographic markets.</w:t>
      </w:r>
    </w:p>
    <w:p>
      <w:r>
        <w:t>XVIII. Two aspects indicate this:</w:t>
        <w:br/>
        <w:t>. The market shares of manufacturers vary greatly in each Member State.</w:t>
        <w:br/>
        <w:t>. According to information from the parties and their competitors, manufacturers in Germany and Spain can achieve different prices for the same battery types than in the other Member States;</w:t>
      </w:r>
    </w:p>
    <w:p>
      <w:r>
        <w:t>XIX. These differences, which persist despite the absence of specific legal barriers, can be explained by a bundle of various causes that collectively establish significantly different competitive conditions in the individual Member States.</w:t>
      </w:r>
    </w:p>
    <w:p>
      <w:r>
        <w:t>1. Nature and Characteristics of the Product</w:t>
      </w:r>
    </w:p>
    <w:p>
      <w:r>
        <w:t>XX. Different product ranges are sold in the various Member States, reflecting the differing demands of the demand side.</w:t>
      </w:r>
    </w:p>
    <w:p>
      <w:r>
        <w:t>XXI. Starter batteries are manufactured according to the specific electrotechnical requirements of different vehicle types. Despite the fact that one type of replacement battery can be used for a whole range of different vehicle types, more than 400 different types of replacement batteries are currently produced in the Community. Each battery type differs in terms of dimensions, performance, etc.</w:t>
      </w:r>
    </w:p>
    <w:p>
      <w:r>
        <w:t>XXII. The sales of the various battery types differ depending on the Member State. The types of batteries sold in the individual Member States depend on the different vehicle fleets in the various Member States. The four major manufacturers Varta, Bosch, CEAc, and Magneti Marelli, which together hold more than 50% market share in Germany, Spain, France, and Italy, were surveyed about their ten most common battery types ("bestsellers") in each of these Member States, where approximately 20 million batteries were sold in 1990. The results were as follows:</w:t>
        <w:br/>
        <w:t>- the total number of their 10 bestsellers in the four Member States amounts to 77 different types;</w:t>
      </w:r>
    </w:p>
    <w:p>
      <w:r>
        <w:t>- 59 of these battery types are among the bestsellers in one Member State (volume: 2.3 million);</w:t>
        <w:br/>
        <w:t>- 11 battery types are among the bestsellers in two Member States (volume: 1 million);</w:t>
        <w:br/>
        <w:t>- 3 battery types are among the bestsellers in three Member States (volume: 0.5 million);</w:t>
        <w:br/>
        <w:t>- 4 battery types are among the bestsellers in all four Member States (volume: 2.3 million).</w:t>
      </w:r>
    </w:p>
    <w:p>
      <w:r>
        <w:t>XXIII. Given the wide variety of types offered in the Community, replacement batteries cannot be considered homogeneous products. The different product ranges sold in the various Member States therefore establish structural differences in the competitive conditions.</w:t>
      </w:r>
    </w:p>
    <w:p>
      <w:r>
        <w:t>XXIV. Changes in this regard are not expected in the near future. This is particularly due to the fact that there is a correlation between the national product range of replacement batteries and the vehicle fleet in a country, the composition of which has not changed significantly in recent years. Considering that the lifespan of a battery in a new vehicle is approximately five years, even a strong alignment of the vehicle fleet in the near future would have only a very minor impact on the replacement battery markets.</w:t>
      </w:r>
    </w:p>
    <w:p>
      <w:r>
        <w:t>2. Buyer Preferences</w:t>
      </w:r>
    </w:p>
    <w:p>
      <w:r>
        <w:t>XXV. Buyer preferences for brand-name starter batteries in the replacement battery market are clearly present in each Member State and show considerable differences depending on the preferred brand.</w:t>
      </w:r>
    </w:p>
    <w:p>
      <w:r>
        <w:t>XXVI. In the Italian market, all major manufacturers sell their batteries—except for a few exceptions—under their own brand. In Spain and Germany, the share of manufacturer brands can be estimated at around 80%. In France, the share of manufacturer brands has been declining in recent years due to the increasing prevalence of modern distribution forms. According to estimates from Fiat, it currently accounts for about 60% of total sales. Due to the higher prices for manufacturer brands, the value share is generally even higher than the share measured in units.</w:t>
      </w:r>
    </w:p>
    <w:p>
      <w:r>
        <w:t>XXVII. The fact that suppliers use different brands in different Member States can be demonstrated by the information provided by Bosch and Varta. In Germany, Bosch sells ...*% of its branded products under the trademark "Bosch," but sells ...*% and ...**% of these products under the trademark "FEMSA" in France and Spain, respectively. Varta sells ...*% and ...*% of its branded products under the trademark "Varta" in Spain and Germany, respectively, but sells ...*% of these products under the trademark "Baroclem" in France (Varta, Bosch, March 8, 1991, Annexes 1a, 1b).</w:t>
      </w:r>
    </w:p>
    <w:p>
      <w:r>
        <w:t>3. Structure of the Demand Side</w:t>
      </w:r>
    </w:p>
    <w:p>
      <w:r>
        <w:t>XXVIII. An important factor for differing competitive conditions is the structure of the demand side. There are significant differences in the distribution and importance of distribution channels in the individual Member States.</w:t>
      </w:r>
    </w:p>
    <w:p>
      <w:r>
        <w:t>XXIX. This is confirmed by both the notifying parties and competitors and can be substantiated by investigations. The results of these investigations show, for example:</w:t>
        <w:br/>
        <w:t>- The share of replacement batteries sold through the manufacturers' own distribution networks is over 20% in Member State ...* and in Member State ...*, but under 10% in Member State ...* and Member State ...*.</w:t>
        <w:br/>
        <w:t>- Replacement batteries sold through the distribution channels of vehicle manufacturers, their dealers, or importers reach 20% in the French market, 15% in the German market, but less than 10% in Spain and less than 5% in the Italian market.</w:t>
        <w:br/>
        <w:t>- The distribution channel of independent auto parts dealers is the most important sales route in each Member State, but its share of the total market for replacement batteries varies from about 40% in France to over 80% in Italy. Even within this distribution channel, customer structures are very different. In Italy and</w:t>
        <w:br/>
        <w:t>* a very significant share.</w:t>
        <w:br/>
        <w:t>** a significant share.</w:t>
        <w:br/>
        <w:t>* For reasons of maintaining business secrets, the individual Member States are not named.</w:t>
      </w:r>
    </w:p>
    <w:p>
      <w:r>
        <w:rPr>
          <w:b/>
        </w:rPr>
        <w:t>[Pages 10–12]</w:t>
      </w:r>
    </w:p>
    <w:p>
      <w:r>
        <w:t>Spain, particularly at the retail level and, subsequently, among wholesalers, holds a significant share, while in Germany and Great Britain, wholesalers dominate, and in France, it is the purchasing organizations of wholesalers.</w:t>
        <w:br/>
        <w:t>- Department stores and supermarkets are only significant in France (over 20% of the market), but not in Spain, Germany, and Italy (under 5%).</w:t>
        <w:br/>
        <w:t>- Oil companies have a small share in the German and French markets (approximately 5%), but are practically insignificant in Spain, Italy, and Great Britain (under 1%).</w:t>
      </w:r>
    </w:p>
    <w:p>
      <w:r>
        <w:t>XXX. Although a concentration tendency on the demand side is to be expected, particularly in Germany and Spain, where modern distribution forms have not yet gained significant importance, these developments are not likely to fundamentally change the structure of distribution channels in the various Member States in the near future.</w:t>
      </w:r>
    </w:p>
    <w:p>
      <w:r>
        <w:t>4. Supply Side and Market Entry Barriers</w:t>
      </w:r>
    </w:p>
    <w:p>
      <w:r>
        <w:t>XXXI. The supply concentration in the Member States differs significantly. The more concentrated the supply on a market, the more difficult it is for current or potential competitors to increase their market shares or to enter the market. Economic market entry barriers still exist. This is confirmed by the fact that, despite the absence of legal or other trade barriers for batteries in the European Community for years (with the exception of tariffs, which were imposed in Spain until December 31, 1992), the market positions of the national market leaders have not been significantly weakened, and significant market entry in the five largest Member States has mostly only been possible when a domestic company or an existing production facility was acquired. For example, Tudor acquired the German company Hagen after previously attempting unsuccessfully to establish itself in the German market alone.</w:t>
      </w:r>
    </w:p>
    <w:p>
      <w:r>
        <w:t>c) Market Dominance</w:t>
      </w:r>
    </w:p>
    <w:p>
      <w:r>
        <w:t>XXXII. The planned merger would establish a dominant position in Germany and Spain in favor of the new company, thereby significantly hindering effective competition for the following reasons:</w:t>
        <w:br/>
        <w:t>The German Market</w:t>
        <w:br/>
        <w:t>- The market share of the new company would reach 44.3%.</w:t>
        <w:br/>
        <w:t>- The gap to the next competitor would be substantial (approximately ...*%).</w:t>
        <w:br/>
        <w:t>- The next competitors are small and medium-sized battery manufacturers.</w:t>
        <w:br/>
        <w:t>- Varta/Bosch would have superior financial strength compared to their main competitors.</w:t>
        <w:br/>
        <w:t>- The new corporate entity has higher production capacities compared to the next competitors, and the production capacities of the next competitors are largely utilized.</w:t>
        <w:br/>
        <w:t>- Other major European manufacturers have only small market shares in the German market.</w:t>
      </w:r>
    </w:p>
    <w:p>
      <w:r>
        <w:t>The Spanish Market</w:t>
        <w:br/>
        <w:t>- The market share of the new company would be approximately 44.5%.</w:t>
        <w:br/>
        <w:t>- The presence of an equally strong competitor, Tudor SA, could lead to conscious parallel behavior between both competitors for several reasons.</w:t>
        <w:br/>
        <w:t>- In particular, there are no other significant current competitors capable of countering the conscious parallel behavior of the main competitors in the Spanish market.</w:t>
      </w:r>
    </w:p>
    <w:p>
      <w:r>
        <w:t>V. CHANGES AFTER THE STATEMENT OF OBJECTIONS</w:t>
      </w:r>
    </w:p>
    <w:p>
      <w:r>
        <w:t>XXXIII. After the Statement of Objections was communicated, an oral hearing took place. The Commission subsequently maintained its objections as far as the German market is concerned.</w:t>
      </w:r>
    </w:p>
    <w:p>
      <w:r>
        <w:t>XXXIV. Following the communication of the Statement of Objections, the following factual changes have occurred:</w:t>
        <w:br/>
        <w:t>* &gt; 25%</w:t>
      </w:r>
    </w:p>
    <w:p>
      <w:r>
        <w:t>- Fiat has acquired the French battery manufacturer CEAc, whose market share in Germany is between 2% and 5%.</w:t>
        <w:br/>
        <w:t>- The Fiat Group has reached an agreement to acquire the German battery manufacturer Sonnenschein through CEAc. Sonnenschein holds a market share in Germany between 5% and 10%.</w:t>
      </w:r>
    </w:p>
    <w:p>
      <w:r>
        <w:t>The following commitments have been made by Varta:</w:t>
        <w:br/>
        <w:t>- Varta has informed the Commission that it will terminate the cooperative relationships with the Deta/Mareg Group. Within an agreed period, Varta will therefore:</w:t>
        <w:br/>
        <w:t xml:space="preserve">  . terminate its license agreement with the Deta/Mareg Group and not extend the group's rights to use Varta's industrial property rights. New license agreements for starter batteries will only be concluded with prior approval from the Commission.</w:t>
        <w:br/>
        <w:t xml:space="preserve">  . Varta will end any overlap between members of the Board of Directors and the Supervisory Board of Varta on one side and the Deta/Mareg Group on the other side.</w:t>
      </w:r>
    </w:p>
    <w:p>
      <w:r>
        <w:t>VI. IMPACT OF THE CHANGED CIRCUMSTANCES AND COMMITMENTS ON THE AFFECTED MARKETS</w:t>
      </w:r>
    </w:p>
    <w:p>
      <w:r>
        <w:t>XXXV. The aforementioned merger plans of Fiat (CEAc and Sonnenschein) as well as Varta's commitments significantly change the market structure and affect the assessment of the merger project Varta/Bosch concerning the emergence of a dominant market position. However, they do not influence the overall assessment of the Commission regarding the definition of the affected product market and the relevant geographical markets.</w:t>
      </w:r>
    </w:p>
    <w:p>
      <w:r>
        <w:t>XXXVI. The Advisory Committee for the Control of Corporate Mergers stated on July 17, 1991, by a majority, that the actual changes were not sufficient to alter the assessment made in the Statement of Objections. The Commission has taken the opinion of the Advisory Committee into account as far as possible in its decision-making.</w:t>
      </w:r>
    </w:p>
    <w:p>
      <w:r>
        <w:t>1. Affected Product Market</w:t>
      </w:r>
    </w:p>
    <w:p>
      <w:r>
        <w:rPr>
          <w:b/>
        </w:rPr>
        <w:t>[Pages 13–15]</w:t>
      </w:r>
    </w:p>
    <w:p>
      <w:r>
        <w:t>XXXVII. Regarding the affected product market, the parties have claimed that the original equipment and the replacement demand for starter batteries belong to a single product market. However, they confirmed before the oral hearing that there are technical and qualitative differences between the two markets. They have organized their new joint venture in such a way that the business areas for original equipment and replacement batteries are clearly separated. For the reasons set out in the Statement of Objections and considering that the distinction between the original equipment market and the aftermarket for automotive replacement batteries is customary in the industry, the Commission maintains its previous assessment.</w:t>
      </w:r>
    </w:p>
    <w:p>
      <w:r>
        <w:t>2. The relevant geographic market</w:t>
      </w:r>
    </w:p>
    <w:p>
      <w:r>
        <w:t>XXXVIII. The parties further stated that the relevant geographic market for automotive replacement batteries is the European market. They dispute the Commission's assessment that there are different competitive conditions in the individual Member States. In particular, they challenge the following assessment criteria underlying the determination of different competitive conditions.</w:t>
      </w:r>
    </w:p>
    <w:p>
      <w:r>
        <w:t xml:space="preserve">XXXIX. </w:t>
        <w:br/>
        <w:t>a) Regarding the nature and characteristics of the product, the parties declare that batteries are homogeneous products and that no different product ranges are offered in the individual Member States. However, Varta has provided information about its 20 best-selling battery types ("bestsellers") that it sells in the five largest Member States (Germany, Spain, France, Italy, the United Kingdom). An analysis of this information shows that very few battery types are bestsellers in more than one Member State. The results are as follows:</w:t>
        <w:br/>
        <w:t>- The number of different battery types that are among the 20 bestsellers in one of the five Member States totals 77. They account for 69% of the total sales volume (...* million) in these countries,</w:t>
        <w:br/>
        <w:t>- 62 of these types are bestsellers in one of the Member States (volume: ...* million),</w:t>
        <w:br/>
        <w:t>* For reasons of maintaining the business secrets of the parties, the volume figures are not published.</w:t>
      </w:r>
    </w:p>
    <w:p>
      <w:r>
        <w:t>- 8 of these types are bestsellers in two Member States (volume: ...* million),</w:t>
        <w:br/>
        <w:t>- 3 of these types are bestsellers in three Member States (volume: ...* million),</w:t>
        <w:br/>
        <w:t>- 2 of these types are bestsellers in four Member States (volume: ...* million),</w:t>
        <w:br/>
        <w:t>- 1 of these types is a bestseller in five Member States (volume: ...* million).</w:t>
      </w:r>
    </w:p>
    <w:p>
      <w:r>
        <w:t>XL. Furthermore, it cannot be expected, as the parties assume, that these differences in product ranges in the various Member States will decrease significantly, as the share of imported vehicles has increased over the last 20 years. On the one hand, vehicle imports into the individual Member States can vary greatly. For example, in Germany, about one-third of all imports are Japanese cars, which play no significant role in France and Italy. On the other hand, it cannot be expected that there will be a strong convergence of the various product ranges in the near future.</w:t>
      </w:r>
    </w:p>
    <w:p>
      <w:r>
        <w:t xml:space="preserve">XLI. </w:t>
        <w:br/>
        <w:t>b) Regarding the assessment of existing buyer preferences and, in particular, the significance of brands in the German market, the estimates of the Commission (approximately 80%) and the parties (78.8%) regarding the share of manufacturer brands in the market are in agreement. On the other hand, they have stated that in Germany ...*% (Bosch) and approximately ...*% (Varta, including dual brands) of their batteries are sold under their own brands (Varta, Bosch: letter of March 8, 1991, annexes 1a, 1b).</w:t>
      </w:r>
    </w:p>
    <w:p>
      <w:r>
        <w:t xml:space="preserve">XLII. </w:t>
        <w:br/>
        <w:t>c) Regarding the supply structure, the parties claim that the Commission has not sufficiently considered imports into the German market. For the German market, the Commission has estimated the value of imports, which have increased since 1975 and stagnated in recent years, at approximately 15%, while the parties estimated it at 16.4%. This difference cannot be considered so significant as to change the overall assessment.</w:t>
      </w:r>
    </w:p>
    <w:p>
      <w:r>
        <w:t>XLIII. * a very significant share.</w:t>
      </w:r>
    </w:p>
    <w:p>
      <w:r>
        <w:t>d) The parties further stated that the Commission should have based its analysis on the quantitative import volume. Regarding the question of whether the assessment should be based on values or quantities, the Commission considers, particularly in this case, only the value figures to be reliable. Firstly, there are significant uncertainties regarding the quantitative imports: the official import statistics are calculated in weight and not in pieces, which necessitates additional estimates, and they include intra-group imports (e.g., Varta's intra-group exchange of starter batteries within the EU amounts to ...** batteries) and sales to competitors (more than ...** batteries). Secondly, quantitative imports do not reflect the qualitative significance from a competitive perspective. Quantitative figures do not weight the different battery types, e.g., batteries for motorcycles and trucks. It is therefore considered justified and necessary to base the assessment on value imports, as they reflect the market's evaluation of the affected product and take into account all competition-influencing factors.</w:t>
      </w:r>
    </w:p>
    <w:p>
      <w:r>
        <w:t>3. Market dominance</w:t>
      </w:r>
    </w:p>
    <w:p>
      <w:r>
        <w:t>XLIV. The factual changes presented above, however, influence the legal assessment of whether the merger will create a dominant position for the new business unit in the German market.</w:t>
      </w:r>
    </w:p>
    <w:p>
      <w:r>
        <w:t>a) Corporate acquisitions by Fiat</w:t>
      </w:r>
    </w:p>
    <w:p>
      <w:r>
        <w:t>XLV. The acquisition of CEAc and Sonnenschein by Fiat/Magneti Marelli changes the structural competitive conditions in multiple ways.</w:t>
      </w:r>
    </w:p>
    <w:p>
      <w:r>
        <w:t>XLVI. Through the acquisition of CEAc and Sonnenschein, Fiat's market share in Germany will increase from 1% to over 10%.</w:t>
      </w:r>
    </w:p>
    <w:p>
      <w:r>
        <w:t>** For reasons of maintaining the business secrets of the parties, the volume figures are not published.</w:t>
      </w:r>
    </w:p>
    <w:p>
      <w:r>
        <w:rPr>
          <w:b/>
        </w:rPr>
        <w:t>[Pages 16–18]</w:t>
      </w:r>
    </w:p>
    <w:p>
      <w:r>
        <w:t>XLVII. More important than the mere increase in market share is the significant material change in competitive potential that is associated with this increase.</w:t>
      </w:r>
    </w:p>
    <w:p>
      <w:r>
        <w:t>XLVIII. Prior to the acquisition of the two companies, the market potential of Fiat/Magneti Marelli as well as CEAc was largely restricted, although both companies have substantial financial strength and Fiat additionally has available capacities. The reason for this restricted market potential was that Fiat and CEAc had no actual presence in the German market. In particular, they did not have a well-known German brand, and they only had a marginal distribution network available. Therefore, Fiat and CEAc were to be regarded as a kind of niche providers, for example, for wholesalers specializing in the distribution of French or Italian auto parts. In this respect, they could not be considered as genuine alternatives to other providers, such as Varta, Bosch, Deta/Mareg, Hoppecke, Tudor/Hagen, or Sonnenschein, who offer well-known brands and have distribution networks.</w:t>
      </w:r>
    </w:p>
    <w:p>
      <w:r>
        <w:t>XLIX. Prior to the merger, the market potential of Sonnenschein was even weaker than what was expressed by its market share, as it was facing significant financial difficulties and ecological problems. There was an intention to reduce production capacities despite existing full utilization.</w:t>
      </w:r>
    </w:p>
    <w:p>
      <w:r>
        <w:t>L. The merger of Fiat, CEAc, and Sonnenschein will generate significant synergy effects, which give rise to the expectation that the competitive potential of the new corporate entity will be greater than what is expressed by the market share achieved as a result of the merger. In particular, Fiat will be able to offset its competitive disadvantages. It will gain access to a well-known German brand and to all distribution channels. Through this improved market access, Fiat's financial strength and its available capacities will be able to take effect in the German market for the first time. As a result of the mergers Fiat/CEAc/Sonnenschein, a strong competitor will emerge, whose competitive potential will be significantly higher than the competitive potential that each of the participating companies had prior to the merger.</w:t>
      </w:r>
    </w:p>
    <w:p>
      <w:r>
        <w:t>b) Dissolution of the cooperative connections to Deta/Mareg</w:t>
      </w:r>
    </w:p>
    <w:p>
      <w:r>
        <w:t>LI. The dissolution of the cooperative entanglements between Varta on one side and Deta/Mareg on the other side will affect the competitive relationship between the two groups in such a way that Deta/Mareg can act as an independent provider in the German market and thus can effectively compete with the new corporate entity Varta/Bosch.</w:t>
      </w:r>
    </w:p>
    <w:p>
      <w:r>
        <w:t>LII. Before 1977, Deta/Mareg, like Varta, belonged to the Herbert Quandt Group. This corporate group was split up, separating Varta on one side and Deta/Mareg on the other side, which are now controlled by different members of the Quandt family. Based on the information available to the Commission, the two new groups are neither connected by mutual shareholding entanglements nor by other means that would establish a legally relevant relationship between them.</w:t>
      </w:r>
    </w:p>
    <w:p>
      <w:r>
        <w:t>LIII. Nevertheless, two actual elements must be considered that influence the competitive relationship between the two groups. First, there are overlaps in the supervisory board members of the two groups. Second, Varta and Deta/Mareg have entered into a self-renewing license agreement, the scope of which goes far beyond the license agreements that are usually in place between the various producers in this industry. The agreement does not, as is usually the case, relate to specific technical applications or areas. On the contrary, it includes a comprehensive cooperation commitment that encompasses the mutual exchange of know-how regarding the production process and product development, the mutual use of patents and other rights, the exchange of R&amp;D, and technical support through the exchange of experts for the production facilities. The agreement itself mentions the influence that Varta has on Deta and Mareg.</w:t>
      </w:r>
    </w:p>
    <w:p>
      <w:r>
        <w:t>LIV. Due to this comprehensive technical cooperation and the personnel entanglements in the supervisory boards, a relationship of mutual consideration was maintained and could be maintained, which excluded genuine competition between the two companies in the markets.</w:t>
      </w:r>
    </w:p>
    <w:p>
      <w:r>
        <w:t>LV. It can be assumed that the dissolution of this comprehensive agreement between Varta and Deta/Mareg will lead to the termination of the cooperative relationships between the two groups. It opens the way for Deta/Mareg to become an independent manufacturer in this market.</w:t>
      </w:r>
    </w:p>
    <w:p>
      <w:r>
        <w:t>LVI. Due to the complexity of the license agreement, this factual change cannot be brought about by an immediate dissolution, but a certain transition period must be taken into account, during which the affected companies can adjust to the future termination of cooperation. In this respect, the intended dissolution has an immediate effect on the strategies and competitive concept of the companies.</w:t>
      </w:r>
    </w:p>
    <w:p>
      <w:r>
        <w:t>c) Effects on competition</w:t>
      </w:r>
    </w:p>
    <w:p>
      <w:r>
        <w:t>LVII. Both factual changes, the increase in Fiat's market potential in the German market and the dissolution of the cooperative relationship between Varta and Deta/Mareg, give rise to the expectation that after the merger Varta/Bosch will not have a significant, uncontested scope of action from competitors.</w:t>
      </w:r>
    </w:p>
    <w:p>
      <w:r>
        <w:t>LVIII. In the Statement of Objections, the emergence of a possible dominant position of the new corporate entity in the German market was derived from an overall consideration of a number of structural factors that primarily indicated a strong market position for the companies. In addition to the market share of 44% and the market share gap of approximately ...*% to the next competitor, it was particularly taken into account that the next most important competitors of the new corporate entity by market share were small and medium-sized enterprises with far less financial strength and lower production capacity. Furthermore, the strongest of these competitors, Deta/Mareg, with a market share of more than 10%, was not regarded as an independent competitor in relation to Varta/Bosch due to its extensive cooperative relationships with Varta. It was further considered that the large European competitors Fiat and CEAc, who were only marginally present in Germany, would likely not gain significant importance, because they were effectively not present in Germany. These structural conditions will change as soon as the factual changes take effect.</w:t>
      </w:r>
    </w:p>
    <w:p>
      <w:r>
        <w:t>LIX. Although the market share of Varta/Bosch will remain large, as will the gap to the next competitor, the new corporate entity will face a changed competitive environment in the future for two main reasons.</w:t>
      </w:r>
    </w:p>
    <w:p>
      <w:r>
        <w:rPr>
          <w:b/>
        </w:rPr>
        <w:t>[Pages 19–21]</w:t>
      </w:r>
    </w:p>
    <w:p>
      <w:r>
        <w:t>LX. Fiat will not only be the second strongest competitor by market share (over 10%). Furthermore, it will have access to a range of competitive parameters that were previously only available to national manufacturers such as Varta, Bosch, Hoppecke, Deta/Mareg, and Tudor/Hagen. In particular, Fiat will be able to offer a well-established German brand in a downstream market that is still characterized by brand preferences. Fiat will have a factual presence in the German market through the Sonnenschein distribution network, which opens up the possibility to respond quickly and flexibly to customer demand. It can expand its access to sales markets by utilizing the traditional supplier relationships of Sonnenschein. This implies that Fiat's potential scope of action in the market will be significantly expanded in such a way that competitive steps in all other market segments will become possible.</w:t>
      </w:r>
    </w:p>
    <w:p>
      <w:r>
        <w:t>LXI. This improved access to the market through Sonnenschein will now enable Fiat/CEAc to utilize its financial strength and available capacities to a significant extent in the German market, which it could not do before due to its limited customer base.</w:t>
      </w:r>
    </w:p>
    <w:p>
      <w:r>
        <w:t>LXII. The high market share of Varta/Bosch, together with the aforementioned structural factors, previously supported the possibility of the emergence of a dominant market position. However, following the factual changes, these structural factors now favor the second most important competitor of Varta/Bosch. It is therefore now at least questionable whether a market share of 44% and the current distance to the next competitor are sufficient to establish a dominant market position.</w:t>
      </w:r>
    </w:p>
    <w:p>
      <w:r>
        <w:t>LXIII. Finally, Deta/Mareg will become an independent market participant in the German market in the future. Due to the complexity of the license agreement described above, the termination of the cooperation and the overlaps in the supervisory boards are given significant importance. The fact that the connections will only be terminated after a certain period does not contradict this assessment. It will enable the Deta/Mareg Group to adapt its business strategies to the new situation and thereby promote its development into an independent market participant. Furthermore, it is expected that this dissolution process will be initiated in the near future to account for the necessary adjustment to the post-cooperation period. This could be accelerated by the particular dynamics expected due to the integration of the new five countries into the German economy.</w:t>
      </w:r>
    </w:p>
    <w:p>
      <w:r>
        <w:t>4. Result</w:t>
      </w:r>
    </w:p>
    <w:p>
      <w:r>
        <w:t>LXIV. All these circumstances lead the Commission to consider the merger of Varta/Bosch as compatible with the Common Market.</w:t>
      </w:r>
    </w:p>
    <w:p>
      <w:r>
        <w:t>HAS ADOPTED THE FOLLOWING DECISION:</w:t>
      </w:r>
    </w:p>
    <w:p>
      <w:r>
        <w:t>Article 1</w:t>
      </w:r>
    </w:p>
    <w:p>
      <w:r>
        <w:t>The merger project notified by Varta Batterie AG and R. Bosch GmbH is declared compatible with the Common Market, subject to the conditions mentioned in Article 2.</w:t>
      </w:r>
    </w:p>
    <w:p>
      <w:r>
        <w:t>Article 2</w:t>
      </w:r>
    </w:p>
    <w:p>
      <w:r>
        <w:t>To ensure the independence between Deta/Mareg and Varta/Bosch, this decision is subject to the following conditions:</w:t>
        <w:br/>
        <w:t>a) Varta shall terminate the license agreement with Deta/Mareg at the earliest possible termination date. The contract provides for termination on December 31, 1993. Upon the effectiveness of the termination, any transfer of rights will cease.</w:t>
        <w:br/>
        <w:t>New license agreements for starter batteries will only be concluded with prior approval from the Commission.</w:t>
        <w:br/>
        <w:t>b) Varta ensures that the same individuals will not be represented in the bodies (management board, supervisory board) of Deta/Mareg and Varta. This obligation will come into effect with the next appointment of the supervisory board of Varta in the summer of 1993.</w:t>
        <w:br/>
        <w:t>c) For the purposes of this Article, the following definitions apply:</w:t>
        <w:br/>
        <w:t>i) Varta: Varta AG, Varta Batterie AG, and any other company controlled by the Varta Group;</w:t>
        <w:br/>
        <w:t>ii) Deta/Mareg: Delton AG, CEAG Industrie-Aktien und Anlagen AG, Deta Akkumulatorenwerke GmbH, Mareg Akkumulatoren GmbH, and any company controlled by the Delton/CEAG/Deta/Mareg corporate group.</w:t>
      </w:r>
    </w:p>
    <w:p>
      <w:r>
        <w:t>Article 3</w:t>
      </w:r>
    </w:p>
    <w:p>
      <w:r>
        <w:t>This decision is addressed to:</w:t>
        <w:br/>
        <w:t>Varta Batterie AG</w:t>
        <w:br/>
        <w:t>Am Leineufer 51</w:t>
        <w:br/>
        <w:t>D-3000 Hannover 21</w:t>
        <w:br/>
        <w:t>Robert Bosch GmbH</w:t>
        <w:br/>
        <w:t>D-7000 Stuttgart 10</w:t>
      </w:r>
    </w:p>
    <w:p>
      <w:r>
        <w:t>Brussels, July 31, 1991</w:t>
      </w:r>
    </w:p>
    <w:p>
      <w:r>
        <w:t>For the Commission</w:t>
        <w:br/>
        <w:t>Sir Leon Brittan</w:t>
        <w:br/>
        <w:t>Vice President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