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https://ec.europa.eu/competition/mergers/cases/decisions/m2059_de.pdf</w:t>
      </w:r>
    </w:p>
    <w:p>
      <w:r>
        <w:t>Pages translated : 31</w:t>
      </w:r>
    </w:p>
    <w:p/>
    <w:p>
      <w:r>
        <w:rPr>
          <w:b/>
        </w:rPr>
        <w:t>[Pages 1–3]</w:t>
      </w:r>
    </w:p>
    <w:p>
      <w:r>
        <w:t>EN</w:t>
        <w:br/>
        <w:t xml:space="preserve">Case No. COMP/M.2059 - </w:t>
        <w:br/>
        <w:t xml:space="preserve">SIEMENS / DEMATIC / </w:t>
        <w:br/>
        <w:t>VDO / SACHS</w:t>
        <w:br/>
        <w:t>Only the German text is available and binding.</w:t>
        <w:br/>
        <w:t>REGULATION (EEC) No. 4064/89</w:t>
        <w:br/>
        <w:t>ON MERGER PROCEDURES</w:t>
        <w:br/>
        <w:t>Article 6, Paragraph 2 NO OBJECTIONS</w:t>
        <w:br/>
        <w:t>Date: 29/08/2000</w:t>
        <w:br/>
        <w:t>Office for Official Publications of the European Communities</w:t>
        <w:br/>
        <w:t>L-2985 Luxembourg</w:t>
      </w:r>
    </w:p>
    <w:p>
      <w:r>
        <w:t>Also available in the CELEX database</w:t>
        <w:br/>
        <w:t>Document number 300M2059</w:t>
        <w:br/>
        <w:t>Office for Official Publications of the European Communities</w:t>
        <w:br/>
        <w:t>L-2985 Luxembourg</w:t>
      </w:r>
    </w:p>
    <w:p>
      <w:r>
        <w:t>COMMISSION OF THE EUROPEAN COMMUNITIES</w:t>
        <w:br/>
        <w:t>Brussels, 29.8.2000</w:t>
        <w:br/>
        <w:t>SG(2000)D/106440</w:t>
        <w:br/>
        <w:t>In the published version of this PUBLIC VERSION</w:t>
        <w:br/>
        <w:t>decision, certain information</w:t>
        <w:br/>
        <w:t>pursuant to Art. 17 (2) of the Council Regulation (EEC)</w:t>
        <w:br/>
        <w:t>No. 4064/89 regarding the non-publication of MERGER PROCEDURES</w:t>
        <w:br/>
        <w:t>business secrets and other ARTICLE 6(2) DECISION</w:t>
        <w:br/>
        <w:t>confidential information has been omitted. The</w:t>
        <w:br/>
        <w:t>omissions are marked by brackets […]</w:t>
        <w:br/>
        <w:t>To the notifying party</w:t>
        <w:br/>
        <w:t>As far as possible, the omitted information has been replaced by a</w:t>
        <w:br/>
        <w:t>range/area indication of numbers or a general description.</w:t>
        <w:br/>
        <w:t>Dear Sir or Madam!</w:t>
        <w:br/>
        <w:t>Subject: Case No. COMP/M. 2059 - Siemens/Dematic/Sachs/VDO</w:t>
        <w:br/>
        <w:t>Notification of 14.07.2000 pursuant to Article 4 of Regulation (EEC) No.</w:t>
        <w:br/>
        <w:t>4064/89 of the Council (Merger Control Regulation)</w:t>
        <w:br/>
        <w:t>1. On 13.07.2000, the notification of a merger project pursuant to Article 4</w:t>
        <w:br/>
        <w:t>of Regulation (EEC) No. 4064/89 of the Council was received by the Commission.</w:t>
        <w:br/>
        <w:t>Accordingly, Siemens AG (“Siemens”) intends, within the meaning of Article 3 Paragraph 1</w:t>
        <w:br/>
        <w:t>Letter b of the Council Regulation, to acquire sole control over the entirety of</w:t>
        <w:br/>
        <w:t>Dematic, VDO, and Sachs.</w:t>
        <w:br/>
        <w:t>2. Following the examination of the notification, the Commission has determined that the notified</w:t>
        <w:br/>
        <w:t>project falls within the scope of Regulation (EEC) No. 4064/89 of the Council</w:t>
        <w:br/>
        <w:t>and does not raise serious concerns regarding its compatibility with the Common Market and the</w:t>
        <w:br/>
        <w:t>EEA Agreement.</w:t>
        <w:br/>
        <w:t>I. The Activities of the Parties</w:t>
        <w:br/>
        <w:t>3. Siemens is an internationally operating stock corporation under German law with its registered offices in</w:t>
        <w:br/>
        <w:t>Berlin and Munich. The company is active in various sectors, including electronics, automotive technology, plant engineering and technical services, automation and drive technology, production and logistics systems, traffic technology, computer components, as well as information and communication technology.</w:t>
        <w:br/>
        <w:t>Rue de la Loi 200, B-1049 Bruxelles/Wetstraat 200, B-1049 Brussel - Belgium</w:t>
        <w:br/>
        <w:t>Telephone: Central 299.11.11</w:t>
        <w:br/>
        <w:t>Teleprinter: COMEU B 21877. Telegram address: COMEUR Brussels.</w:t>
      </w:r>
    </w:p>
    <w:p>
      <w:r>
        <w:rPr>
          <w:b/>
        </w:rPr>
        <w:t>[Pages 4–6]</w:t>
      </w:r>
    </w:p>
    <w:p>
      <w:r>
        <w:t xml:space="preserve">4. Dematic develops and produces systems and components for conveyor technology. In addition to cranes, hoists, and lifts, these particularly include material flow systems, such as automatic conveyor, storage, and sorting systems, as well as mail automation systems.  </w:t>
        <w:br/>
        <w:t xml:space="preserve">5. Sachs is also active as a supplier for the automotive industry in its core business areas. Sachs specializes in systems and components for the drivetrain (clutches, converters, etc.) and the chassis (damping systems, gas springs, etc.). In addition, Sachs has activities in the foundry sector.  </w:t>
        <w:br/>
        <w:t xml:space="preserve">6. VDO operates exclusively as a supplier for automotive technology. In particular, VDO manufactures products in the field of vehicle electronics (sensors, electronic components, on-board networks, electromechanical drives, driver information systems), various technical equipment components (drivetrain systems, fuel systems), and the interior fittings of motor vehicles (cockpit).  </w:t>
        <w:br/>
        <w:t xml:space="preserve">II. THE PROJECT  </w:t>
        <w:br/>
        <w:t xml:space="preserve">A. Background of the Merger  </w:t>
        <w:br/>
        <w:t xml:space="preserve">7. Mannesmann was acquired by Vodafone Airtouch plc in spring 2000. The aim of the acquisition was to form an international telecommunications provider. Consequently, Mannesmann decided to divest its engineering and automotive activities. For the purpose of the divestiture, the five companies Dematic, VDO, and Sachs, as well as Demag Krauss-Maffei AG ("Demag") and Mannesmann Rexroth AG ("Rexroth"), were brought under the umbrella of the interim holding company Atecs Mannesmann AG ("Atecs"). The shareholders of Atecs are currently Mannesmann (54%) and its wholly-owned subsidiary Mannesmann Investment GmbH ("Mannesmann Investment") (46%).  </w:t>
        <w:br/>
        <w:t xml:space="preserve">8. Siemens and Robert Bosch GmbH ("Bosch") intend to acquire joint control over Atecs. Immediately following this transaction, Siemens will acquire sole control over the entirety of Dematic, Sachs, and VDO in accordance with Article 3(1)(b) of the Council Regulation. This merger is the subject of the present proceedings. At the same time, Bosch is to acquire sole control over Rexroth. Demag Krauss-Maffei remains the only one of the five leading companies under the joint control of Siemens and Bosch.  </w:t>
        <w:br/>
        <w:t xml:space="preserve">1 See Commission Decision COMP/M. 1795 of 12.04.2000  </w:t>
        <w:br/>
        <w:t xml:space="preserve">2 It can remain open whether the acquisition of sole control over Dematic, Sachs, and VDO constitutes one or several mergers, as the Commission's jurisdiction is given in any case.  </w:t>
        <w:br/>
        <w:t xml:space="preserve">3 See Case No. COMP/M.2060.  </w:t>
        <w:br/>
        <w:t>4 See Commission Decision COMP/M.1922 of 11.08.2000</w:t>
      </w:r>
    </w:p>
    <w:p>
      <w:r>
        <w:t xml:space="preserve">B. Implementation of the Project  </w:t>
        <w:br/>
        <w:t xml:space="preserve">9. Siemens and Bosch acquire joint control of Atecs by each acquiring 25% plus one share of the share capital, voting jointly at the general meeting of Atecs, while Mannesmann – which will continue to hold 50% minus 2 shares of Atecs' shares – will abstain from exercising its voting rights at the general meeting.  </w:t>
        <w:br/>
        <w:t xml:space="preserve">10. The acquisition of shares is structured as follows: Mannesmann Investment will sell its 46% stake in Atecs equally to Siemens and Bosch. As a result of a capital increase, in which Mannesmann intends to waive its subscription rights, the parties will then receive, based on the newly issued shares, 50% of the share capital of Atecs plus two shares (25% plus one share for each of the two parties). Siemens and Bosch have also agreed on an irrevocable purchase option regarding the remaining Atecs shares held by Mannesmann, which can be exercised from [...] to [...].  </w:t>
        <w:br/>
        <w:t xml:space="preserve">11. Siemens and Bosch have further agreed to establish a consortium committee for joint decision-making. This consortium committee is equally composed and decides unanimously. By the obligation that Siemens and Bosch will exercise their voting rights at the general meeting solely according to the instructions of the consortium committee, it is ensured that the parties will always vote uniformly. Until the exercise of the purchase option, Mannesmann assures that it will abstain from its voting rights at the general meeting of Atecs or will agree to the measures proposed by Siemens and Bosch in all matters requiring qualified majorities. Through this structure, the joint control of Siemens and Bosch over Atecs is ensured.  </w:t>
        <w:br/>
        <w:t xml:space="preserve">C. Sole Control Acquisition by Siemens over Dematic, Sachs, and VDO  </w:t>
        <w:br/>
        <w:t xml:space="preserve">12. Immediately following the joint control acquisition by Siemens and Bosch over Atecs, Siemens will acquire sole control over Dematic, Sachs, and VDO, mirroring Bosch's control acquisition over Rexroth.  </w:t>
        <w:br/>
        <w:t xml:space="preserve">(1) Control Acquisition over Dematic  </w:t>
        <w:br/>
        <w:t xml:space="preserve">13. Siemens will establish Siemens Dematic GmbH and contribute its business area of production and logistics systems to it by way of a non-cash contribution. Siemens will enter into a control and profit transfer agreement with Siemens Dematic GmbH.  </w:t>
        <w:br/>
        <w:t xml:space="preserve">14. By way of a non-cash capital increase, the entire business operation of Dematic will be contributed in exchange for shares in Siemens Dematic GmbH. Siemens Dematic GmbH will thus become a joint venture with Siemens (50%) and Dematic (50%) as shareholders.  </w:t>
        <w:br/>
        <w:t xml:space="preserve">5 The consent can only be refused by Mannesmann in narrowly defined exceptional cases where consent would be objectively unreasonable.  </w:t>
        <w:br/>
        <w:t>6 See Case No. COMP/M.2060.</w:t>
      </w:r>
    </w:p>
    <w:p>
      <w:r>
        <w:t xml:space="preserve">15. Through the control and profit transfer agreement, Siemens Dematic GmbH is subject to the management of Siemens. Siemens Dematic GmbH is obliged to transfer its entire profit to Siemens, while Siemens is obliged to compensate any annual losses incurred.  </w:t>
        <w:br/>
        <w:t xml:space="preserve">16. In addition to these agreements between Siemens and Dematic, Siemens and Bosch, as controlling companies of Atecs, the sole shareholder of Dematic, have also entered into agreements in a supplementary consortium agreement (EKV) that further secure Siemens' control over Dematic.  </w:t>
        <w:br/>
        <w:t xml:space="preserve">17. According to Section I 4(1) EKV, the parties have agreed that the sole entrepreneurial responsibility and control of Dematic lies with Siemens.  </w:t>
        <w:br/>
        <w:t xml:space="preserve">18. According to Section I 4(4) EKV, the parties shall ensure that Dematic is managed exclusively in accordance with the instructions of Siemens. Siemens has the sole right to appoint the management bodies of Dematic.  </w:t>
        <w:br/>
        <w:t xml:space="preserve">19. According to Section I 4(1) EKV, all opportunities and risks associated with the business of Dematic, including the financing responsibility, lie exclusively with Siemens.  </w:t>
        <w:br/>
        <w:t xml:space="preserve">20. Atecs, as the shareholder of Dematic and – through Atecs – its parent company Bosch, therefore has no influence rights regarding Dematic.  </w:t>
        <w:br/>
        <w:t xml:space="preserve">(2) Control Acquisition over Sachs  </w:t>
        <w:br/>
        <w:t xml:space="preserve">21. Siemens will establish Siemens Pächter II. AG, which in turn will lease the entire business operation of Sachs. A lease agreement and a control agreement will be concluded between Siemens Pächter II. AG and Sachs. These agreements assign the entrepreneurial control over Sachs to Siemens.  </w:t>
        <w:br/>
        <w:t xml:space="preserve">22. The lease agreement stipulates that the operation of the business of Sachs is solely the responsibility of Siemens Pächter II. AG, which operates the leased company in its own name and for its own account (§ 1(2) Sachs Lease Agreement (Sachs-BPV)). For this purpose, Sachs will provide Siemens Pächter II. AG with all company assets for use. The rent to be paid to Sachs according to § 9 Sachs-BPV is a fixed amount payable monthly, regardless of the economic success of the leased company.  </w:t>
        <w:br/>
        <w:t xml:space="preserve">23. The control agreement places Sachs under the management of the controlling company Siemens Pächter II. AG, which is then entitled to issue instructions to the board of directors of Sachs. The "profit share" payable to the external shareholders according to § 3(1) Sachs Control Agreement is a fixed amount determined at the beginning of the contractual relationship, regardless of the economic development of the company.  </w:t>
        <w:br/>
        <w:t>24. In addition to these agreements between Siemens and Sachs, Bosch and Siemens, as controlling companies of Atecs, the sole shareholder of Sachs, have also entered into agreements in a supplementary consortium agreement (EKV) to ensure Siemens' control over Sachs:</w:t>
      </w:r>
    </w:p>
    <w:p>
      <w:r>
        <w:rPr>
          <w:b/>
        </w:rPr>
        <w:t>[Pages 7–9]</w:t>
      </w:r>
    </w:p>
    <w:p>
      <w:r>
        <w:t xml:space="preserve">25. According to Section I 4 para. 1 EKV, the parties have agreed that the sole entrepreneurial responsibility and control of Sachs lies with Siemens.  </w:t>
        <w:br/>
        <w:t xml:space="preserve">26. According to Section I 4 para. 4, the parties shall ensure that Sachs is managed exclusively in accordance with the instructions of Siemens. Siemens has the sole right to appoint the management bodies of Sachs.  </w:t>
        <w:br/>
        <w:t xml:space="preserve">27. According to Section I 4 para. 1 EKV, all opportunities and risks associated with the business of Sachs, including financial responsibility, lie solely with Siemens.  </w:t>
        <w:br/>
        <w:t xml:space="preserve">28. Atecs, as the shareholder of Sachs, and – through Atecs – its parent company Bosch, therefore have no more influence rights regarding Sachs. Their ownership interest in Sachs is also limited to the "profit shares" and the rental income generated by Sachs, as stipulated in the Sachs Control Agreement.  </w:t>
        <w:br/>
        <w:t xml:space="preserve">(3) Acquisition of Control over VDO  </w:t>
        <w:br/>
        <w:t xml:space="preserve">29. Siemens establishes Siemens VDO GmbH, into which it contributes its automotive technology division through a non-cash contribution. By way of a non-cash capital increase in exchange for shares, the entire business area of VDO is transferred to Siemens VDO GmbH. Siemens VDO GmbH will be a joint venture, with shares held by Siemens at just over 50% and by VDO at just under 50%.  </w:t>
        <w:br/>
        <w:t xml:space="preserve">30. Otherwise, the acquisition of control by Siemens over VDO occurs in parallel with the Siemens/Sachs transaction.  </w:t>
        <w:br/>
        <w:t xml:space="preserve">31. Siemens establishes Siemens Pächter AG, which in turn leases the entire business operation of Siemens VDO GmbH. A lease agreement and a control agreement are concluded between Siemens Pächter AG and Siemens VDO GmbH. These agreements assign the entrepreneurial control over Siemens VDO GmbH and thus over VDO Siemens.  </w:t>
        <w:br/>
        <w:t xml:space="preserve">32. The lease agreement stipulates that the operation of the business of Siemens VDO GmbH is solely the responsibility of Siemens Pächter AG, which operates the leased company in its own name and for its own account (§ 1 para. 2 VDO Lease Agreement (VDO-BPV)). For this purpose, Siemens VDO GmbH provides Siemens Pächter AG with all company assets for use. The rent payable to Siemens VDO GmbH according to § 9 VDO-BPV is a fixed amount payable monthly, regardless of the economic success of the leased company.  </w:t>
        <w:br/>
        <w:t xml:space="preserve">33. The control agreement places Siemens VDO GmbH under the management of the controlling company Siemens Pächter AG, which is then entitled to issue instructions to the management of Siemens VDO GmbH. The "profit share" payable to external shareholders according to § 3 para. 1 VDO Control Agreement is a fixed amount determined at the beginning of the contractual relationship, regardless of the economic development of the company.  </w:t>
        <w:br/>
        <w:t xml:space="preserve">34. In addition to these agreements between Siemens and VDO, Siemens and Bosch, as controlling companies of Atecs, the sole shareholder of VDO, have also concluded agreements in a Supplementary Consortium Agreement (EKV) to ensure Siemens' control over VDO.  </w:t>
        <w:br/>
        <w:t xml:space="preserve">35. According to Section I 4 para. 1 EKV, the parties have agreed that the sole entrepreneurial responsibility and control of VDO lies with Siemens.  </w:t>
        <w:br/>
        <w:t xml:space="preserve">36. According to Section I 4 para. 4 EKV, the parties shall ensure that VDO is managed exclusively in accordance with the instructions of Siemens. Siemens has the sole right to appoint the management bodies of Sachs (Section I 4 para. 4).  </w:t>
        <w:br/>
        <w:t xml:space="preserve">37. According to Section I 4 para. 1 EKV, all opportunities and risks associated with the business of VDO, including financial responsibility, lie solely with Siemens.  </w:t>
        <w:br/>
        <w:t xml:space="preserve">38. Atecs, as the shareholder of VDO, and – through Atecs – its parent company Bosch, therefore have no more influence rights regarding VDO. Their ownership interest in VDO is also limited to the "profit shares" and the rental income generated by VDO, as stipulated in the VDO Control Agreement.  </w:t>
        <w:br/>
        <w:t xml:space="preserve">III. COMMUNITY-WIDE SIGNIFICANCE  </w:t>
        <w:br/>
        <w:t xml:space="preserve">39. The companies involved have a combined worldwide turnover of more than EUR 5,000 million (Siemens EUR 68,582 million, Dematic EUR 2,221 million, Sachs EUR 2,136 million, VDO EUR 7,879 million) and each generates a community-wide turnover of more than EUR 250 million (Siemens […] million, Dematic […] million, Sachs […] million, VDO […] million). The parties do not generate more than two-thirds of their community-wide turnover in a single member state. The project therefore has community-wide significance and does not constitute a cooperation case under the EEA Agreement.  </w:t>
        <w:br/>
        <w:t xml:space="preserve">IV. COMPATIBILITY WITH THE COMMON MARKET  </w:t>
        <w:br/>
        <w:t xml:space="preserve">A. Dematic  </w:t>
        <w:br/>
        <w:t xml:space="preserve">(1) Materially Relevant Market  </w:t>
        <w:br/>
        <w:t xml:space="preserve">40. Siemens and Dematic have partially overlapping business activities in the field of material flow systems. Dematic develops and produces systems and components for conveyor technology. The products offered by Dematic include cranes, hoists, and automated transport, storage, and sorting systems, e.g., baggage handling systems for airports, automated storage and picking systems for warehouses, or letter sorting systems for postal companies.  </w:t>
        <w:br/>
        <w:t xml:space="preserve">41. Siemens also offers material flow solutions but, unlike Dematic, is not primarily active in the mechanical area of material flow systems, but rather mainly in the field of electronics. The business activities here particularly include information technology, automation solutions, and system integration solutions for highly automated material flow systems, with Siemens sourcing most of the required components from third-party suppliers.  </w:t>
        <w:br/>
        <w:t xml:space="preserve">42. However, both companies encounter each other in the market as general contractors offering turnkey systems. These systems include both mechanical and electronic components and involve solutions for system integration, automation, and product management. System suppliers, unlike pure component suppliers, have the competence to develop and install complete material flow systems. This requires not only specific know-how but also a certain size and financial strength to design entire systems.  </w:t>
        <w:br/>
        <w:t xml:space="preserve">43. Nevertheless, according to the parties, it would not be appropriate to consider each individual component of a material flow system as a separate market. A separate component market is only to be assumed if the respective component is sold not only as part of a whole system but also separately from this system, including by suppliers who are not simultaneously system providers. Consequently, the parties define the relevant system markets as the market for standard letter sorting systems, the market for large letter sorting systems, and a market for general material flow systems. They distinguish independent component markets for reading and coding devices, frequency converters, and gear and brake motors. Overlaps occur in the area of standard letter and large letter sorting systems, material flow systems, and reading and coding devices.  </w:t>
        <w:br/>
        <w:t xml:space="preserve">a) System Markets  </w:t>
        <w:br/>
        <w:t xml:space="preserve">Material Flow Systems  </w:t>
        <w:br/>
        <w:t xml:space="preserve">44. Material flow systems are facilities that essentially consist of the same components, which can be used for various transport and sorting purposes. According to the parties, all material flow systems have the same basic functions, sorting, distributing, and picking piece goods of various sizes in an automated manner. The three essential functions of storage, sorting, and transport are usually integrated into one and the same system, which typically consists of standard components (such as roller and belt conveyors, tipping bucket sorters, crossbelt sorters, etc.) that are integrated into customer-specific solutions. According to the parties, the mechanical and electronic components, as well as the software and hardware required for the control and integration of these systems, are fundamentally identical. Unlike standard letter sorting systems and large letter systems (see below), which serve only a single application purpose, the parties believe that other material flow systems are characterized by their use in a variety of applications for a variety of customers using the same basic components.  </w:t>
        <w:br/>
        <w:t>45. However, material flow systems in the area of airport logistics usually exhibit a high degree of complexity. The parties attribute airport logistics to the market for material flow systems due to the versatile applicability of the basic modules. However, they do not rule out that, due to the complexity and size of the systems, which is one of the reasons why only a limited number of suppliers operate in this field, a narrower market definition would be more appropriate. For the purposes of this decision, the</w:t>
      </w:r>
    </w:p>
    <w:p>
      <w:r>
        <w:rPr>
          <w:b/>
        </w:rPr>
        <w:t>[Pages 10–12]</w:t>
      </w:r>
    </w:p>
    <w:p>
      <w:r>
        <w:t>Question of whether airport logistics constitutes a distinct market can remain open, as under all alternative market delineations, the merger is not expected to create or strengthen a dominant market position.</w:t>
      </w:r>
    </w:p>
    <w:p>
      <w:r>
        <w:t>Standard Letter and Large Letter Sorting Systems</w:t>
      </w:r>
    </w:p>
    <w:p>
      <w:r>
        <w:t>46. The parties designate standard letter sorting systems and large letter sorting systems as distinct relevant system markets. According to the parties, these systems are highly specialized single-purpose machines that are used solely for the specific application of mail processing. In this respect, the parties consider them to be independent markets, distinct from general material flow systems.</w:t>
      </w:r>
    </w:p>
    <w:p>
      <w:r>
        <w:t>47. In a standard letter sorting system, machine-readable standard letter items are automatically read at the input location using address reading machines or integrated address reading and video coding machines. The coded items are sorted by fine sorting machines according to distribution center, city, post office, recipient, and the route of the mail carrier. According to the parties, there is the possibility that the individual subsystems are connected by integrated conveyor technology, which transports containers with letters from one subsystem to another, with the entire system being controlled and monitored by information systems.</w:t>
      </w:r>
    </w:p>
    <w:p>
      <w:r>
        <w:t>48. According to the parties, while the standard letter sorting systems differ in their technology and complexity, the sorting technology used is essentially the same. As a result, the entire range of different sorting machines required at the various stages of mail processing is offered by the same, albeit relatively few, suppliers. The parties emphasize the necessity of special system competence, which is required to compete in this market given the complexity and performance requirements of the systems.</w:t>
      </w:r>
    </w:p>
    <w:p>
      <w:r>
        <w:t>49. Large letter sorting systems are defined by the parties as systems for letters that exceed the size of a standard letter and typically have a maximum size of 300 x 400 x 30 mm. The input of large letter items usually occurs at multiple locations, some of which operate automatically. If possible, the items are automatically separated and transported to the sorting machine. Items for which this is not possible are fed at manual input locations. Each item is then passed by a camera, after which the image of the item is sent to an image processor for evaluation. Address images that cannot be recognized by the reader are forwarded to video coding stations. Using sorting control, the large letters are directed to their target containers. According to the parties, large letter sorting systems differ from standard letter sorting systems by their respective core element, the sorting system. This difference, according to the parties, justifies a delineation of two different system markets.</w:t>
      </w:r>
    </w:p>
    <w:p>
      <w:r>
        <w:t>50. The Commission's investigations have revealed that the essential modules of a standard letter sorting system are identical to those of a large letter sorting system, such as the base technology of machine control or the software used. The degree of interchangeability depends, among other things, on whether the reading and coding of addresses is integrated into the machines. If this is the case, sorting plans, image management modules, address field identification, address interpretation, and address databases can be mutually interchangeable with appropriate software adjustments. According to the companies interviewed during the Commission's investigation, manufacturers are increasingly attempting to enable the use of the same components in standard letter and large letter sorting systems to apply the technology used in multiple application areas. In this context, the Commission's investigations have shown that a differentiation between standard letter and large letter sorting systems is not appropriate, at least in the medium term, if not already today.</w:t>
      </w:r>
    </w:p>
    <w:p>
      <w:r>
        <w:t>51. In contrast, the parties' assertion is confirmed that letter sorting systems are hardly usable for other purposes, such as warehouse logistics, due to their specific technology employed for the particular application purpose. The costs associated with adapting the base technologies from the reading or sorting area are too high to make the necessary adjustments. As a result, the only demanders for letter sorting systems are national postal companies.</w:t>
      </w:r>
    </w:p>
    <w:p>
      <w:r>
        <w:t>52. The Commission's investigations have also confirmed the parties' statements that letter sorting systems are not acquired by postal companies through the purchase of individual components, but generally as a complete system from a single supplier. The fundamental reason for this is the lack of compatibility of individual components, which, according to statements from interviewed market participants, hinders the individual procurement of modules from different suppliers. A "single sourcing" also offers advantages for the demanding postal companies in terms of optimizing project coordination for the client as well as in the procurement of spare parts and services. Although some postal companies have recently been trying to combine various "non-system" components from different suppliers, letter sorting systems are generally requested from a single supplier as a "system." This is evidenced by the sales figures presented by the parties, which clearly show that suppliers of letter sorting systems have significantly different revenues with individual postal companies: the respective "system supplier" has a very high market share, while competitors are hardly represented in these markets.</w:t>
      </w:r>
    </w:p>
    <w:p>
      <w:r>
        <w:t>53. Based on the above considerations, the Commission concludes that both standard letter sorting systems and large letter sorting systems do not consist of a multitude of individual component markets, but rather form a system market distinct from other material flow systems. The high mutual functional interchangeability of standard letter sorting systems with large letter sorting systems from the perspective of demanders suggests that they together form a single system market.</w:t>
      </w:r>
    </w:p>
    <w:p>
      <w:r>
        <w:t>54. The question of whether standard letter and large letter sorting systems ever form a separate product market can remain open for the purposes of this decision, as the merger would raise serious concerns regarding compatibility with the common market under both possible alternative market delineations.</w:t>
      </w:r>
    </w:p>
    <w:p>
      <w:r>
        <w:t>b) Component Markets</w:t>
      </w:r>
    </w:p>
    <w:p>
      <w:r>
        <w:t>Reading and Coding Devices</w:t>
      </w:r>
    </w:p>
    <w:p>
      <w:r>
        <w:t>55. According to the parties, reading and coding devices, as core components of standard letter and large letter sorting systems, constitute a distinct product market. They read the machine- or handwritten addresses on the letters using highly advanced technology (scanners and OCR software). According to the parties, they are mostly sold as part of an entire standard letter or large letter sorting system, but they would also be in demand as a separate component during the technical upgrading of older sorting systems. A separate procurement of reading and coding devices can also occur, according to the parties, in cases where the customer, using open interfaces, purchases systems with components from different manufacturers.</w:t>
      </w:r>
    </w:p>
    <w:p>
      <w:r>
        <w:t>56. According to the market participants interviewed by the Commission, OCR devices are generally acquired as an integral part of a letter sorting system. In highly complex systems, the integration of such devices into existing systems or into systems from other manufacturers is problematic, especially since it proves to be difficult in practice to resolve the "interface problem." While there are attempts by some postal companies to integrate reading technologies from alternative manufacturers into a complete system, this process is still in its early stages and, according to statements from third parties interviewed by the Commission, currently faces significant difficulties.</w:t>
      </w:r>
    </w:p>
    <w:p>
      <w:r>
        <w:t>57. The question of whether reading and coding devices constitute a distinct market or belong to the system market for letter sorting systems can remain open for the purposes of this decision, as the merger would raise serious concerns regarding compatibility with the common market under both alternative market delineations.</w:t>
      </w:r>
    </w:p>
    <w:p>
      <w:r>
        <w:t>(2) Geographically Relevant Market</w:t>
      </w:r>
    </w:p>
    <w:p>
      <w:r>
        <w:t>Material Flow Systems</w:t>
      </w:r>
    </w:p>
    <w:p>
      <w:r>
        <w:t>58. The parties define the geographically relevant market for material flow systems as at least EEA-wide.</w:t>
      </w:r>
    </w:p>
    <w:p>
      <w:r>
        <w:t>59. The Commission's investigations have revealed that national ties in these markets play no or only a very subordinate role. In the area of airport logistics, for example, contracts are not awarded to a single supplier, but to international consortia that apply in changing configurations. A precise definition of the geographically relevant market is unnecessary for the purposes of this decision, as the merger does not allow for the expectation of the creation or strengthening of a dominant market position under any alternative market delineations.</w:t>
      </w:r>
    </w:p>
    <w:p>
      <w:r>
        <w:rPr>
          <w:b/>
        </w:rPr>
        <w:t>[Pages 13–15]</w:t>
      </w:r>
    </w:p>
    <w:p>
      <w:r>
        <w:t>Standard and Large Letter Sorting Systems</w:t>
      </w:r>
    </w:p>
    <w:p>
      <w:r>
        <w:t>60. According to the parties, the geographically relevant market encompasses at least the EEA. The parties base this on the widespread practice of customers, as they state, of procuring the relevant products/systems through public tenders. For this reason, it is possible for suppliers from all EEA member states to submit offers, which is also regularly the case. The liberalization of the postal sector and the implementation of EU regulations on public procurement have, according to the parties, led to national and foreign suppliers competing for contracts with practically equal chances of success.</w:t>
      </w:r>
    </w:p>
    <w:p>
      <w:r>
        <w:t>61. The parties believe that there are no significant reasons for national ties. While the parties acknowledge that a common language and nationality of the customer and the supplier provide a certain competitive advantage for the latter, these could be offset by other competitive parameters such as technology or price. The parties expect that with the transformation of postal companies from former monopolists to "normal" business enterprises, the procurement behavior of postal companies will no longer differ from that of private parcel and logistics companies.</w:t>
      </w:r>
    </w:p>
    <w:p>
      <w:r>
        <w:t>62. The Commission's investigations have confirmed the parties' statements in that the providers of letter sorting systems are active internationally and customers regularly award their contracts based on EU-wide public tenders. Although the market shares of providers vary significantly in the individual member states, this is primarily due to the fact that there is only one customer in each member state, namely the national postal companies, which, for the reasons described regarding the assurance of compatibility of the systems and the lack of openness of interfaces, have so far almost exclusively applied a "single sourcing" procurement policy. It is not apparent that the purchasing decisions of customers are oriented towards specific, nationally shaped criteria. In consideration of these facts, the Commission assumes in this decision, along with the parties, that the relevant geographical market is the EEA.</w:t>
      </w:r>
    </w:p>
    <w:p>
      <w:r>
        <w:t>Reading and Coding Devices</w:t>
      </w:r>
    </w:p>
    <w:p>
      <w:r>
        <w:t>63. Reading and coding devices are integral components of standard letter and large letter sorting systems. As such, they are subject to the same market conditions. The Commission agrees with the parties that the relevant geographical market is the EEA.</w:t>
      </w:r>
    </w:p>
    <w:p>
      <w:r>
        <w:t>(3) Competitive Assessment</w:t>
      </w:r>
    </w:p>
    <w:p>
      <w:r>
        <w:t>Standard and Large Letter Sorting Systems</w:t>
      </w:r>
    </w:p>
    <w:p>
      <w:r>
        <w:t>General Market Conditions</w:t>
      </w:r>
    </w:p>
    <w:p>
      <w:r>
        <w:t>64. The general market conditions in the area of postal automation have recently undergone a transformation. Although national postal companies in the EU, with few exceptions, still have a so-called "reserved area" within which they can offer postal services as a monopoly, the gradual opening of the letter monopoly, combined with the privatization efforts of some member states, has led to a change in the business management of customers for letter sorting systems towards customer orientation, cost reduction, quality, and profitability. At the same time, the structure of postal volumes is changing due to the possibilities of new communication media. For the EU, a stagnant, if not shrinking market for letter volumes is anticipated, while on the other hand, there is an increasing volume of large letters and a sharply rising volume of parcels. Based on this, the parties expect a realignment in the postal automation industry. According to the parties, the focus of automation has so far primarily been on high-performance sorting machines and address recognition systems for letters and large letters, but in the future, systems and solutions in the field of information technology will be at the forefront.</w:t>
      </w:r>
    </w:p>
    <w:p>
      <w:r>
        <w:t>65. […]</w:t>
      </w:r>
    </w:p>
    <w:p>
      <w:r>
        <w:t>66. As another peculiarity of the market situation, the parties point out that the only customers for letter sorting systems at present are the national postal companies, as the volume of letters and large letters carried by private competitors such as courier and express delivery services is not sufficient to amortize a letter sorting system. Since the national postal companies are themselves subject to EU regulations on public procurement, competition in this sector takes place practically exclusively on the basis of public tenders. The parties conclude from this that historical market shares have relatively little significance in this market, as in each new tender all providers essentially have the same chances of success.</w:t>
      </w:r>
    </w:p>
    <w:p>
      <w:r>
        <w:t>Impact of the Merger</w:t>
      </w:r>
    </w:p>
    <w:p>
      <w:r>
        <w:t>67. Based on the parties' data for 1998/1999, after the merger, the combined market share for the overall market of postal automation, consisting of standard letter sorting systems and large letter sorting systems (including reading and coding devices), would amount to [70-80]% in the EEA. Siemens, as the current clear market leader with [50-60]% market share, would gain a market share increase of [15-25]% through the acquisition of Dematic. The strongest competitor, Elsag, would only reach a market share of [5-15]%, followed by NEC with [0-10]% and IBM with [0-10]%.</w:t>
      </w:r>
    </w:p>
    <w:p>
      <w:r>
        <w:t>68. The market share situation does not differ significantly when considering, as proposed by the parties, different system markets for large letter and standard letter sorting systems (each without reading and coding devices). For large letter sorting systems, based on figures submitted by the parties for 1999, EEA-wide aggregated market shares of [80-90]% (Siemens [45-55]%, Dematic [30-40]%) result, and for standard letter sorting systems, a market share of 70% (Siemens [45-55]%, Dematic [10-20]%) with only minor changes in the market shares of the main competitors Elsag and NEC. The market shares change only slightly when reading and coding devices are included in the respective sorting systems.</w:t>
      </w:r>
    </w:p>
    <w:p>
      <w:r>
        <w:t>69. According to the parties, the remaining competitors in the market after the merger are strong enough to maintain effective competition. The parties primarily mention Elsag and NEC here, both of which, like Siemens and Dematic, have a complete product range. These companies have demonstrated through various contracts awarded to them, including in the USA, that they can provide sufficient competition to the parties even after the merger. The parties point out in this context the particular demand structure with only one national postal company each. The customers of the providers, equipped with corresponding purchasing power and years of experience in this field, are able to realize the most favorable alternative from the competition of bidders.</w:t>
      </w:r>
    </w:p>
    <w:p>
      <w:r>
        <w:t>70. The parties further state that other competitors, who do not have a complete product portfolio, can also exert effective competition through the possibility of forming alliances and/or bidding consortia. Mentioned here are IBM as a major manufacturer of reading and coding devices, Lockheed Martin, Toshiba, NPI, Pitney Bowes, and Bell &amp; Howell. The postal companies, as strong demanders, could actively promote the formation of such cooperations and thereby establish new competitors in the EU.</w:t>
      </w:r>
    </w:p>
    <w:p>
      <w:r>
        <w:t>71. The Commission has found in the course of its investigations that the market shares of Siemens and Dematic as well as those of the competitors have hardly changed over the last three years. A change of suppliers is very difficult for customers with technologies that have integrated reading technology, as the necessary disclosure of interfaces is practically only insufficient or only occurs for a fee. The established competitor thus has a competitive advantage that, according to customers interviewed by the Commission, can be exploited to fend off competitors. Furthermore, new entrants must expect relatively long development times and costs. These significantly reduce the economic attractiveness of market entry, especially since a higher project management effort, which the client must incur when changing suppliers, must also be taken into account. Since, as the parties themselves confirm, letter sorting systems are only economically usable for a single purpose, the research and development costs required to produce a competitive system represent significant barriers to market entry.</w:t>
      </w:r>
    </w:p>
    <w:p>
      <w:r>
        <w:t>72. The parties' view that historical market shares could change rapidly in light of the procurement practices of postal companies is not confirmed by the Commission's investigations. Siemens and Dematic are firmly established as the two strongest providers in the field of postal automation as system suppliers for many national postal companies, with the customers' efforts to ensure the compatibility of the systems and their regular, careful maintenance leading to long-term customer relationships. Additionally, given the expected shrinkage of postal volumes, the incentives for current and potential competitors are unlikely to be high to take market shares from an established market leader with high investment costs. The specific nature of letter sorting systems as system markets creates another difficulty in this context. As long as the market presents itself as a "system market," the actual competitive situation, namely the introduction of new</w:t>
      </w:r>
    </w:p>
    <w:p>
      <w:r>
        <w:rPr>
          <w:b/>
        </w:rPr>
        <w:t>[Pages 16–18]</w:t>
      </w:r>
    </w:p>
    <w:p>
      <w:r>
        <w:t>the market shares of reading and coding devices differ only slightly from those of letter sorting systems. In 1999, Siemens had a market share of [50-60]% in the EEA, while Dematic had [15-25]%. Here too, there are very few competitors, namely, according to the figures submitted by the parties, Elsag with [5-15]% market share, IBM with [5-15]%, Lockheed Martin with [0-5]%, and NEC with [0-5]%.</w:t>
      </w:r>
    </w:p>
    <w:p>
      <w:r>
        <w:t>76. The Commission's investigations have shown that it remains difficult to integrate reading and coding devices into letter sorting systems of other providers. The primary issue is not mechanical compatibility. Rather, the input and output data from other machines must be processable. All machines with OCR reading of the address operate with address data sets that include, among other things, valid addresses and sorting programs. A transfer to other systems is only possible through neutral interfaces. However, according to customer statements, the disclosure of interfaces by manufacturers is practically insufficient or only provided for a fee. Combined with the very high research and development costs that would have to be incurred by new entrants for the development of these technologically demanding devices, a dominant position in the system market is likely to lead to additional market entry barriers for reading and coding devices in the long term.</w:t>
      </w:r>
    </w:p>
    <w:p>
      <w:r>
        <w:t>77. Siemens and Dematic are the two leading providers of reading and coding devices in the EEA. According to the Commission's assessment, third parties consulted indicated that the planned merger poses a risk that Siemens, after acquiring Dematic, could set the standards from a dominant market position in the long term. The already very strong position of Siemens would be significantly strengthened by the merger to an EEA-wide market share of [70-80]% for reading and coding devices and would be hardly contestable in the long term under the described market conditions.</w:t>
      </w:r>
    </w:p>
    <w:p>
      <w:r>
        <w:t>78. From the above considerations and particularly due to the high market shares that Siemens would acquire through the merger, the Commission concludes that there are also serious concerns regarding compatibility with the common market for the market for reading and coding systems.</w:t>
      </w:r>
    </w:p>
    <w:p>
      <w:r>
        <w:t>Commitment</w:t>
      </w:r>
    </w:p>
    <w:p>
      <w:r>
        <w:t>79. To address the serious concerns regarding the merger, Siemens has offered to have Dematic divest its business in high-performance postal automation systems (MDPA). This includes Mannesmann Dematic Postal Automation based in Gentilly/France as well as the Maintenance Division of Dematic Services in Brussels/Belgium. The exact wording of this commitment can be found in the annex to this decision. The annex is part of the decision.</w:t>
      </w:r>
    </w:p>
    <w:p>
      <w:r>
        <w:t>80. The commitment completely eliminates the overlaps in the activities of Siemens and Dematic in the area of standard letter and large letter sorting systems as well as reading and coding systems. Third parties consulted by the Commission have welcomed the commitment made by Siemens.</w:t>
      </w:r>
    </w:p>
    <w:p>
      <w:r>
        <w:t>Material Flow Systems</w:t>
      </w:r>
    </w:p>
    <w:p>
      <w:r>
        <w:t>81. The market for material flow systems is characterized by a large number of independent providers. Unlike in the area of postal automation, market concentration is relatively low, with no company holding a market share of more than [5-10]% in the EEA.</w:t>
      </w:r>
    </w:p>
    <w:p>
      <w:r>
        <w:t>82. Siemens operates in this market as a system integrator and develops and sells control systems, such as warehouse management systems. However, Siemens does not produce any mechanical components, a field where Dematic is primarily active. Dematic is also a system provider like Siemens, but since it is not active in the area of control systems, there are no overlaps at the component level. The only market share overlaps created by the planned merger therefore exist at the system level. Siemens and Dematic are among the strongest providers in this market with [&lt;5]% (Siemens) and [&lt;5]% (Dematic) within the EEA, but the market is highly fragmented. The largest provider in the EEA is Vanderlande with a market share of [5-10]%. 85% of the market is distributed among many, often smaller companies.</w:t>
      </w:r>
    </w:p>
    <w:p>
      <w:r>
        <w:t>83. This situation is also evident at the member state level. Siemens and Dematic have the highest market shares in Germany, each with [&lt;10]%, but there are also many competitors here, as in other member states, with a strong fragmentation of the market.</w:t>
      </w:r>
    </w:p>
    <w:p>
      <w:r>
        <w:t>84. In the airport logistics market segment, the automation components used are essentially the same at smaller and larger airports. With increasing baggage volume, only the sheer number of conveyor controls and conveyor drives to be installed increases, which do not differ technically. Due to this technical identity, the market is also characterized by a relatively large number of providers who typically compete for all types of airports, whether large or regional airports. Manufacturers often appear as bidding consortia in changing constellations.</w:t>
      </w:r>
    </w:p>
    <w:p>
      <w:r>
        <w:t>85. Siemens and Dematic did not have a special market position in recent years and held only [&lt;5]% market share in the EEA during the years 1997-1999 (Siemens [&lt;5]%; Dematic [&lt;5]%). Leading competitors are Vanderlande ([20-30]% market share), Fabricon ([5-15]%), and Teleflex ([5-15]%) in the EEA. Neither Siemens nor Dematic has a market share of over 15% in any single member state. At the national level, there is only one marginal overlap of activities (United Kingdom: Siemens [5-10]%; Dematic [&lt;5]%).</w:t>
      </w:r>
    </w:p>
    <w:p>
      <w:r>
        <w:t>86. The Commission thus concludes that the merger does not raise serious concerns regarding compatibility with the Common Market in the area of material flow systems.</w:t>
      </w:r>
    </w:p>
    <w:p>
      <w:r>
        <w:t>B. Sachs</w:t>
      </w:r>
    </w:p>
    <w:p>
      <w:r>
        <w:t>(1) Materially Relevant Markets</w:t>
      </w:r>
    </w:p>
    <w:p>
      <w:r>
        <w:t>Damping Systems for Rail Vehicles</w:t>
      </w:r>
    </w:p>
    <w:p>
      <w:r>
        <w:t>87. The materially relevant market, according to the notifying parties, is the market for damping systems for rail vehicles.</w:t>
      </w:r>
    </w:p>
    <w:p>
      <w:r>
        <w:t>88. Damping systems for rail vehicles serve to dampen</w:t>
        <w:br/>
        <w:t>• the chassis,</w:t>
        <w:br/>
        <w:t>• the vehicle body, and</w:t>
        <w:br/>
        <w:t>• between the wagons.</w:t>
      </w:r>
    </w:p>
    <w:p>
      <w:r>
        <w:t>89. These functions are performed by various types of dampers that are only conditionally interchangeable. However, the dampers must be coordinated for the respective rail vehicle.</w:t>
      </w:r>
    </w:p>
    <w:p>
      <w:r>
        <w:t>90. Sachs manufactures damping systems for rail vehicles in its business area of chassis. Siemens does not manufacture any of these systems.</w:t>
      </w:r>
    </w:p>
    <w:p>
      <w:r>
        <w:t>91. Siemens produces rail vehicles in its traffic engineering (VT) business area and is also a customer of Sachs. Therefore, there are vertical relationships between Siemens and Sachs in this area.</w:t>
      </w:r>
    </w:p>
    <w:p>
      <w:r>
        <w:t>92. Siemens does not manufacture any of the individual components of the damping system and procures all components of this system. Therefore, it is not essential in this case whether the individual components or the entire damping system is considered.</w:t>
      </w:r>
    </w:p>
    <w:p>
      <w:r>
        <w:rPr>
          <w:b/>
        </w:rPr>
        <w:t>[Pages 19–21]</w:t>
      </w:r>
    </w:p>
    <w:p>
      <w:r>
        <w:t>93. A delineation of the materially relevant market is therefore not necessary because the merger would not significantly impede effective competition in the EEA or in a substantial part of this area in any of the examined alternative markets.</w:t>
      </w:r>
    </w:p>
    <w:p>
      <w:r>
        <w:t>(2) Geographically Relevant Markets</w:t>
      </w:r>
    </w:p>
    <w:p>
      <w:r>
        <w:t>Damping Systems for Rail Vehicles</w:t>
      </w:r>
    </w:p>
    <w:p>
      <w:r>
        <w:t>94. According to the notifying parties, the geographically relevant market should at least be delineated as EEA-wide.</w:t>
      </w:r>
    </w:p>
    <w:p>
      <w:r>
        <w:t>95. The Commission notes that within the EEA, there are neither tariff nor non-tariff trade barriers. Transport costs are also not significant. The major customers, the European railway technology manufacturers, operate EEA-wide.</w:t>
      </w:r>
    </w:p>
    <w:p>
      <w:r>
        <w:t>96. The Commission therefore, like the parties, assumes an EEA-wide market.</w:t>
      </w:r>
    </w:p>
    <w:p>
      <w:r>
        <w:t>(3) Competitive Assessment</w:t>
      </w:r>
    </w:p>
    <w:p>
      <w:r>
        <w:t>97. In an EEA-wide market, Sachs is the market leader with a market share of [25-35] %. The main competitors are Koni and Dispen, which belongs to the Alstom Group. Siemens does not manufacture these systems. Therefore, there are no horizontal relationships between the parties.</w:t>
      </w:r>
    </w:p>
    <w:p>
      <w:r>
        <w:t>98. However, Siemens is active in the field of traffic technology (VT) in the manufacture of rail vehicles and also procured damping systems from SACHS. Through the merger, Siemens strengthens vertical integration in this area. The Commission has examined whether this vertical integration leads to market foreclosure and an enhancement of SACHS's position in this market. Siemens could in the future purchase all damping systems from SACHS and thus push competitors of SACHS out of the market.</w:t>
      </w:r>
    </w:p>
    <w:p>
      <w:r>
        <w:t>99. However, Siemens currently already sources about [a large part] of its damping systems from Sachs. Even if SIEMENS were to source all damping systems from Sachs in the future, this would not significantly change the market situation of Sachs. Alstom, one of Siemens' main competitors in rail vehicles, is also vertically integrated in the area of damping systems with Dispen. Therefore, it is not expected that the merger will negatively affect the market situation with regard to "foreclosure" effects.</w:t>
      </w:r>
    </w:p>
    <w:p>
      <w:r>
        <w:t>C. VDO</w:t>
      </w:r>
    </w:p>
    <w:p>
      <w:r>
        <w:t>(1) Materially Relevant Market</w:t>
      </w:r>
    </w:p>
    <w:p>
      <w:r>
        <w:t>100. VDO is exclusively active as a supplier for the automotive industry and manufactures products for technical equipment and interior fittings. Siemens operates in the automotive technology market with the business units Siemens Automotive Technology ("Siemens AT"), Infineon Technologies ("Infineon"), and Osram GmbH ("Osram").</w:t>
      </w:r>
    </w:p>
    <w:p>
      <w:r>
        <w:t>(a) Distinction between OEM/OES Markets and IAM Markets</w:t>
      </w:r>
    </w:p>
    <w:p>
      <w:r>
        <w:t>101. In their notification, the parties distinguish in the area of automotive supply between the markets for supply to automobile manufacturers as original equipment manufacturers, as well as for their spare parts business ("OEM/OES Markets") and the supply to the independent spare parts trade ("IAM Markets"). This distinction is in line with established Commission practice and is used for the subsequent antitrust assessment, as it has also been confirmed by the market investigation. OEM accessories are supplied directly to automobile manufacturers, while OES accessories are supplied as spare parts to automobile manufacturers or their authorized dealers. OEM and OES accessories therefore fundamentally differ only by the timing of their incorporation into the automobile. OEM accessories are integrated into the automobile during its production process, while OES accessories replace already installed components. The market investigation has shown that OEM and OES accessories thus fulfill the same function and furthermore command the same price. Minor price differences are solely due to packaging costs, which are somewhat higher for individual OES accessories. IAM accessories, on the other hand, are offered by independent wholesalers and repair shops. These different distribution channels, which also lead to different prices, justify separate product markets for OEM/OES and IAM accessories, especially since certain accessories are not sold in the IAM market.</w:t>
      </w:r>
    </w:p>
    <w:p>
      <w:r>
        <w:t>(b) Relevant Product Markets at the OEM/OES Level</w:t>
      </w:r>
    </w:p>
    <w:p>
      <w:r>
        <w:t>102. According to the parties, the activities of Siemens and VDO are largely complementary in nature. According to the Commission's investigations, the horizontal overlaps at the OEM/OES level, which would lead to a combined market share of over 25%, exist in the following markets: speed sensors, temperature sensors, immobilizers, locking systems (central locking), navigation systems, and cockpits.</w:t>
      </w:r>
    </w:p>
    <w:p>
      <w:r>
        <w:t>Sensors</w:t>
      </w:r>
    </w:p>
    <w:p>
      <w:r>
        <w:t>103. Both Siemens and VDO supply electronic and electromechanical sensors to the automotive industry. According to the parties, they constitute independent product markets depending on their intended use.</w:t>
      </w:r>
    </w:p>
    <w:p>
      <w:r>
        <w:t>104. The parties argue that the vast majority of all sensors manufactured by Siemens ([a large part] of the temperature sensors and [a large part] of the speed sensors) are delivered individually directly to the automotive industry. Only a small proportion of the sensors would be integrated into modules (e.g., intake modules, air conditioning systems) and delivered as a complete system to the automotive industry. VDO also supplies, with one exception, all sensors as individual components to vehicle manufacturers.</w:t>
      </w:r>
    </w:p>
    <w:p>
      <w:r>
        <w:t>105. In cases where the sensors are integrated into further modules or systems, according to the parties, the assembly companies, the so-called "Pre-Assemblers," are not customers of VDO and Siemens. The contractual relationships exist directly with the automobile producer. Price negotiations are conducted with this producer, who places the order and invoices the bills. According to the parties, the assembly companies receive the sensors only on the instruction of the automobile manufacturer and do not acquire ownership of them. The parties also point out that automobile manufacturers place separate orders for the delivery of sensors and for the delivery of the system or module, so that a separate bidding competition takes place for each.</w:t>
      </w:r>
    </w:p>
    <w:p>
      <w:r>
        <w:t>106. For these reasons, the parties conclude that sensors constitute independent product markets compared to the system into which they are integrated.</w:t>
      </w:r>
    </w:p>
    <w:p>
      <w:r>
        <w:t>107. This view was confirmed by the market test conducted by the Commission. Sensors are mostly manufactured and sold individually by automotive suppliers and are also purchased individually by automobile manufacturers. In cases where they are included as components in module instruments, the manufacturers of the individual sensors mostly remain the customers of the automobile manufacturers.</w:t>
      </w:r>
    </w:p>
    <w:p>
      <w:r>
        <w:t>108. Furthermore, the parties argue that sensors should be assigned to separate markets depending on their intended use. The measurement of the various parameters (temperature, pressure, fluid level, speed, etc.) is carried out based on completely different technical concepts, so that the various sensors are not substitutable at least from the customers' perspective. On this basis, the parties identify the markets for speed sensors and temperature sensors as the relevant product markets.</w:t>
      </w:r>
    </w:p>
    <w:p>
      <w:r>
        <w:t>109. This view is consistent with a previous decision of the Commission, which found that the various sensors are technically not interchangeable and therefore represent independent product markets. The market delineation was again confirmed by the market test conducted by the Commission.</w:t>
      </w:r>
    </w:p>
    <w:p>
      <w:r>
        <w:t>(i) Speed Sensors</w:t>
      </w:r>
    </w:p>
    <w:p>
      <w:r>
        <w:t>110. Speed sensors are installed on rotating components in engines, transmissions, wheels, etc., and measure, for example, engine speed or vehicle speed. According to the parties, the measurement of speed is usually carried out by the</w:t>
      </w:r>
    </w:p>
    <w:p>
      <w:r>
        <w:rPr>
          <w:b/>
        </w:rPr>
        <w:t>[Pages 22–24]</w:t>
      </w:r>
    </w:p>
    <w:p>
      <w:r>
        <w:t>sensor</w:t>
      </w:r>
    </w:p>
    <w:p>
      <w:r>
        <w:t>110. Speed sensors are installed on rotating components in engines, transmissions, wheels, etc., and measure, for example, the engine speed or vehicle speed. According to the parties, the measurement of speed is usually carried out by the rotation of a interrupted disc, which alternately opens and closes an electromagnetic circuit.</w:t>
      </w:r>
    </w:p>
    <w:p>
      <w:r>
        <w:t>(ii) Temperature Sensors</w:t>
      </w:r>
    </w:p>
    <w:p>
      <w:r>
        <w:t>111. Temperature sensors are used to measure the vehicle temperature, the coolant circuit, the oil temperature, as well as the air temperature. The measurement is carried out using electrical sensors.</w:t>
      </w:r>
    </w:p>
    <w:p>
      <w:r>
        <w:t>Immobilizers</w:t>
      </w:r>
    </w:p>
    <w:p>
      <w:r>
        <w:t>112. Electronic immobilizers serve to secure the vehicle against theft by preventing the ignition of the motor vehicle in the event of unauthorized use.</w:t>
      </w:r>
    </w:p>
    <w:p>
      <w:r>
        <w:t>Locking Systems (Central Locking)</w:t>
      </w:r>
    </w:p>
    <w:p>
      <w:r>
        <w:t>113. Locking systems (central locking) open and close all doors of a vehicle simultaneously. The locking mechanism is triggered either pneumatically or by an electric motor. Such locking systems constitute a distinct product market, which is to be distinguished from normal door locks for vehicles. The parties argue that, although pneumatic or electric locking systems differ in their technical design, they still represent a unified market. The parties state that both types of locking systems are interchangeable in terms of purpose and function. Furthermore, most manufacturers produce both types of locking systems.</w:t>
      </w:r>
    </w:p>
    <w:p>
      <w:r>
        <w:t>114. The assertion that most manufacturers of locking systems produce both types has been confirmed by the market investigation. Even though the two types exhibit differences, particularly regarding price, a market can still be assumed, as there are no significant differences in their function. While the more expensive pneumatic system had the advantage of operating more quietly in the past, which is why it was predominantly installed in luxury class automobiles, the electric system has caught up with this advantage due to recent developments. Moreover, a switch between the two types is fundamentally possible for both customers and manufacturers. Additionally, customers and competitors indicate that the market for pneumatic locking systems now represents only a niche market, as pneumatic locking systems are increasingly being absorbed by electric locking systems.</w:t>
      </w:r>
    </w:p>
    <w:p>
      <w:r>
        <w:t>115. For the purposes of this decision, the Commission therefore assumes a unified market for locking systems.</w:t>
      </w:r>
    </w:p>
    <w:p>
      <w:r>
        <w:t>Navigation Systems</w:t>
      </w:r>
    </w:p>
    <w:p>
      <w:r>
        <w:t>116. Navigation systems are destination guidance devices that enable the driver to determine their location and find destinations using GPS signals. Navigation systems consist of a navigation computer, the end device, digital road maps, and a satellite reception device that receives the GPS signal for location determination. According to the parties, navigation systems consist of an integrated system of corresponding hardware and software. They are manufactured as a "system" and are usually sold "on board," i.e., directly integrated into the vehicle. Although there are various technological solutions for these systems, the currently common types are more or less based on the same technology (GPS, gyro, and speed sensors). The survey conducted by the Commission among market participants confirmed the parties' view. For the purposes of this decision, a unified product market for navigation systems is therefore assumed.</w:t>
      </w:r>
    </w:p>
    <w:p>
      <w:r>
        <w:t>Cockpits</w:t>
      </w:r>
    </w:p>
    <w:p>
      <w:r>
        <w:t>117. The parties identify the market for "integrated cockpits" as another relevant product market. These consist of the dashboard, in which the wiring, multifunction displays, possibly an air conditioning system, audio and navigation systems, as well as airbags are already integrated. Depending on the specifications of the automobile manufacturer, the system may also include pedals, steering wheel and steering column, as well as the firewall to the engine.</w:t>
      </w:r>
    </w:p>
    <w:p>
      <w:r>
        <w:t>118. The parties argue that this is a completely new market. The integration of the individual cockpit components was previously carried out by the vehicle manufacturer itself. Only recently have some automobile manufacturers begun to transfer the production and assembly of integrated cockpits to suppliers. According to the parties, separate contractual negotiations take place regarding the cockpit production and the delivery of the components to be integrated into the cockpit with the automobile manufacturers. Separate orders are also placed. In the case of order placement, the automobile manufacturer typically specifies exactly which components the contractor must integrate.</w:t>
      </w:r>
    </w:p>
    <w:p>
      <w:r>
        <w:t>119. Customers and competitors have confirmed the parties' statements. Most automobile manufacturers in the EEA only purchase components for the cockpit and assemble the cockpit themselves. Only for some small vehicles are pre-assembled integrated cockpits purchased from system suppliers. Even in these cases, separate contractual negotiations regarding cockpit production and the delivery of the components to be integrated into the cockpit take place with the automobile manufacturers, so that in line with the Commission's practice, the cockpit market is to be distinguished from the components market. The independence of the cockpit market is particularly evident in that traditional automotive subsystems, which were previously supplied separately, must now be integrated.</w:t>
      </w:r>
    </w:p>
    <w:p>
      <w:r>
        <w:t>120. For these reasons, the Commission assumes a distinct product market for cockpits for the purposes of this decision.</w:t>
      </w:r>
    </w:p>
    <w:p>
      <w:r>
        <w:t>(c) Relevant Product Markets at IAM Level</w:t>
      </w:r>
    </w:p>
    <w:p>
      <w:r>
        <w:t>121. At the IAM level, the only overlaps between the activities of Siemens and VDO arise in the markets for speed sensors and temperature sensors in Germany.</w:t>
      </w:r>
    </w:p>
    <w:p>
      <w:r>
        <w:t>(2) Geographically Relevant Market</w:t>
      </w:r>
    </w:p>
    <w:p>
      <w:r>
        <w:t>(a) Relevant Geographical Markets at OEM/OES Level</w:t>
      </w:r>
    </w:p>
    <w:p>
      <w:r>
        <w:t>122. The parties define the geographically relevant market as at least EEA-wide. They state that they supply automobile manufacturers in the EEA area with their products and compete there with European, American, and Asian providers. The demand side is also oriented at least towards the EEA area. With the global positioning of automobile corporations and their establishment of internet marketplaces, demand is even developing into a worldwide market.</w:t>
      </w:r>
    </w:p>
    <w:p>
      <w:r>
        <w:t>123. This view has been confirmed by the Commission's investigations. Automobile suppliers typically have production facilities in several member states of the EEA and supply manufacturers throughout the EEA area. Transport costs are not significant within the EEA area, and customs tariffs or other trade barriers do not play a role. Providers do not supply automobile manufacturers from "national" production facilities, but only from a few plants. Conversely, providers are increasingly using the EEA area as a unified market regarding the planning of their production, sales, and marketing activities. In fact, there are no relevant price differences within the EEA area, as automobile manufacturers usually produce their automobiles with regard to their platforms and equip them with identical products (the so-called principle of common parts).</w:t>
      </w:r>
    </w:p>
    <w:p>
      <w:r>
        <w:t>124. As a result, it can be established that automobile manufacturers purchase product parts on an international basis and define the contractual relationships, including regarding price and quantity for demanded products on this basis. Based on these contracts, suppliers deliver the respective components, which they manufacture themselves or procure internationally or possibly worldwide as a system supplier, to the respective European or even non-European production facilities of the automobile manufacturers, with the price for all destinations generally being the same or differing only very slightly, for example, due to different transport costs.</w:t>
      </w:r>
    </w:p>
    <w:p>
      <w:r>
        <w:t>125. According to the assessment of the market participants surveyed by the Commission, the market on the demand side will develop into a worldwide market in the medium term, although today it is still largely supplied by providers in the EEA area. For this decision, as well as in previous decisions, the Commission therefore assumes an EEA-wide market.</w:t>
      </w:r>
    </w:p>
    <w:p>
      <w:r>
        <w:t>(b) Relevant Geographical Markets at IAM Level</w:t>
      </w:r>
    </w:p>
    <w:p>
      <w:r>
        <w:t>126. In line with the Commission's practice, the parties treat the IAM market as national. Accordingly, for this decision, national markets are assumed. The Commission's investigations have shown that the IAM market...</w:t>
      </w:r>
    </w:p>
    <w:p>
      <w:r>
        <w:rPr>
          <w:b/>
        </w:rPr>
        <w:t>[Pages 25–27]</w:t>
      </w:r>
    </w:p>
    <w:p>
      <w:r>
        <w:t>dependent on distribution channels and that national ties in this area remain decisive, as evidenced by significant differences in the respective market shares of competitors and the parties in the member states.</w:t>
      </w:r>
    </w:p>
    <w:p>
      <w:r>
        <w:t>(3) Competitive Assessment</w:t>
      </w:r>
    </w:p>
    <w:p>
      <w:r>
        <w:t>OEM/OMS</w:t>
      </w:r>
    </w:p>
    <w:p>
      <w:r>
        <w:t>General Market Conditions</w:t>
      </w:r>
    </w:p>
    <w:p>
      <w:r>
        <w:t>127. The automotive supply markets are characterized by strong demand power from automobile manufacturers. This demand power has been further intensified by mergers of globally operating corporations (DaimlerBenz/Chrysler, General Motors/Saab, Ford/Volvo, Renault/Nissan, Ford/Land Rover). A contract is associated with very high revenues for suppliers due to the regularly high quantities and the duration extending over several model years. The automobile manufacturers are aware of this and can leverage their market position in shaping business relationships.</w:t>
      </w:r>
    </w:p>
    <w:p>
      <w:r>
        <w:t>128. Furthermore, automobile manufacturers have recently developed various strategies to increase the efficiency of the supply chain. This includes the so-called common parts principle within their platforms. The use of common modular assemblies in vehicles from different automotive groups is also linked to the procurement of standard products through purchasing providers, which bundle orders from various manufacturers. The strength of demand fundamentally suggests that the leeway of suppliers is effectively limited by automobile manufacturers. This is also evident from the manufacturers' "second source" policy. By being able to completely change suppliers of frequently customer-specific products with each new model series, a market exclusion strategy on the part of suppliers is hardly possible.</w:t>
      </w:r>
    </w:p>
    <w:p>
      <w:r>
        <w:t>129. In addition, internet-based marketplace platforms and business-to-business solutions will sustainably change market processes in the automotive/supplier industry in the medium term. This affects procurement, product development, and logistics, with auctions in the buyer/supplier relationship being considered possible for simple standard components. Nevertheless, the market participants interviewed by the Commission expect that "e-business" will create increased price transparency and heightened price pressure in the automotive supply market.</w:t>
      </w:r>
    </w:p>
    <w:p>
      <w:r>
        <w:t>130. However, the affected markets are characterized by high barriers to entry for new competitors not yet active in the supply business due to the necessary high concept and integration competence. Accordingly, competitors and customers of the parties indicate that there have been only a few market entries in the last five years. Nevertheless, various market entries, especially in connection with innovative product developments, show that for an established supplier, market entry into a specific product market is fundamentally possible. A market exclusion in the individual supply markets is hardly possible due to one or even two large providers.</w:t>
      </w:r>
    </w:p>
    <w:p>
      <w:r>
        <w:t>131. The parties rank seventh in the global automotive supply market based on the addition of their revenues, behind Delphi, Bosch, Visteon, Lear, Denso, and TRW. This suggests that there will continue to be strong current and potential innovation competition in the markets.</w:t>
      </w:r>
    </w:p>
    <w:p>
      <w:r>
        <w:t>Relationship between Siemens and Bosch</w:t>
      </w:r>
    </w:p>
    <w:p>
      <w:r>
        <w:t>132. In some affected markets (OEM and IAM market for speed and temperature sensors, navigation systems), Bosch is the strongest competitor of Siemens and VDO. The Commission therefore had to examine whether the structure of the project and the resulting connections to Bosch would enable a stronger position for Siemens in the mentioned markets. This could particularly not be ruled out if the joint control of Siemens and Bosch over Atecs would create opportunities for mutual information about competitive behavior or direct influence.</w:t>
      </w:r>
    </w:p>
    <w:p>
      <w:r>
        <w:t>133. The parties state that joint ownership interests of Siemens and Bosch exist only in relation to the Atecs management company Demag Krauss-Maffei. Regarding the other management companies - particularly concerning the merger in question Siemens/VDO - the common economic interests normally associated with the shareholding rights held by the non-controlling party in Atecs are reduced by the lease and control agreements to the receipt of the result-independent lease payment. Since the ownership interests of Atecs concerning the non-controlled management company VDO are reduced to the result-independent lease payment, there are no information rights of Atecs or its shareholders regarding the respective operational business operations.</w:t>
      </w:r>
    </w:p>
    <w:p>
      <w:r>
        <w:t>134. Siemens and Bosch have also committed to ensuring that no individuals who are simultaneously members of a board or shareholder representatives in a supervisory board of the Siemens or Bosch management companies or their subsidiaries are appointed to either the consortium committee or the boards and supervisory boards of Atecs, Demag, or dependent companies of Demag. Furthermore, Bosch and Siemens have committed to ensuring that no individuals who are simultaneously members of the board or management or shareholder representatives in the supervisory boards of Siemens, Bosch, or a company to which the business operations are directly or indirectly leased by one of the management companies are appointed to the consortium committee or the boards and supervisory boards of Atecs, Demag, or dependent companies of Demag.</w:t>
      </w:r>
    </w:p>
    <w:p>
      <w:r>
        <w:t>135. In addition to these structurally impactful contractual arrangements, the parties have also committed to the Commission not to exercise information rights at the level of Atecs regarding the management companies that may still exist and not to provide requested information.</w:t>
      </w:r>
    </w:p>
    <w:p>
      <w:r>
        <w:t>136. The Commission takes note of these commitments from the parties and concludes that Bosch can be considered an independent competitor of Siemens/VDO.</w:t>
      </w:r>
    </w:p>
    <w:p>
      <w:r>
        <w:t>Sensors</w:t>
      </w:r>
    </w:p>
    <w:p>
      <w:r>
        <w:t>(i) Speed Sensors</w:t>
      </w:r>
    </w:p>
    <w:p>
      <w:r>
        <w:t>137. According to the parties, Siemens and VDO had a joint market share of [20-30]% in the EEA-wide market for speed sensors in 1999, with a total market volume of €270 million (Siemens [10-20]%, VDO [10-20]%). Competitors include Bosch ([15-25]%), ContiTeves [5-15%], AB Electronic ([5-10]%), Electrifil ([5-10]%), and others ([11%]). The sensor business of Magneti Marelli was acquired by the French company Labinal in 1997. The parties did not provide figures for Labinal. Magneti Marelli had a market share of approximately [10-20]%.</w:t>
      </w:r>
    </w:p>
    <w:p>
      <w:r>
        <w:t>138. According to the Commission's investigations, Siemens will remain exposed to strong competition after the merger. The remaining competitors in the market for speed sensors hold about 70% of the market shares. The strong position of automobile manufacturers, as mentioned above, further limits the leeway of suppliers, especially since they can change suppliers with any new model series. The market investigation conducted by the Commission confirms this assessment. It is not expected that the merger will lead to a significant change in the competitive situation.</w:t>
      </w:r>
    </w:p>
    <w:p>
      <w:r>
        <w:t>139. For these reasons, the Commission concludes that the merger will not lead to the creation or strengthening of a dominant position in the area of speed sensors.</w:t>
      </w:r>
    </w:p>
    <w:p>
      <w:r>
        <w:t>(ii) Temperature Sensors</w:t>
      </w:r>
    </w:p>
    <w:p>
      <w:r>
        <w:t>140. According to the parties, Siemens had a market share of [5-10]% in the EEA-wide market for temperature sensors in 1999, while VDO had a market share of [20-30]%. The total market volume reaches €65 million. Competitors include AB Electronic ([10-20]%), Bosch ([10-20]%), Behr-Thermotronik ([10-20]%), Valeo ([5-10]%), Electrifil ([&lt;5]%). The sensor business of Magneti Marelli was acquired by the French company Labinal in 1997. The parties did not provide figures for Labinal. Magneti Marelli had a market share of approximately [10-20]%.</w:t>
      </w:r>
    </w:p>
    <w:p>
      <w:r>
        <w:t>141. According to the Commission's investigations, Siemens will remain exposed to strong competition after the merger. The remaining competitors in the market for temperature sensors hold slightly less than 70% of the market shares in the EEA. The strong position of automobile manufacturers, as mentioned above, sustainably limits the leeway of suppliers. It is therefore not expected that the merger will lead to a significant change in the market. The market investigation conducted by the Commission confirms this assessment.</w:t>
      </w:r>
    </w:p>
    <w:p>
      <w:r>
        <w:t>142. The Commission thus concludes that the merger will not lead to the creation or strengthening of a dominant position in the area of temperature sensors.</w:t>
      </w:r>
    </w:p>
    <w:p>
      <w:r>
        <w:rPr>
          <w:b/>
        </w:rPr>
        <w:t>[Pages 28–30]</w:t>
      </w:r>
    </w:p>
    <w:p>
      <w:r>
        <w:t>Immobilizer</w:t>
      </w:r>
    </w:p>
    <w:p>
      <w:r>
        <w:t>143. According to the parties, in the market for immobilizers in the EEA in 1999, Siemens had a market share of [50-60]% and VDO had a share of [&lt;5]%. Due to the very low market share addition, the parties exclude the emergence or strengthening of a dominant market position as a result of the merger. […]. Competitors that could expand their position include Valeo ([15-25]%), Delphi ([10-20]%), and Bosch ([&lt;10]%). Furthermore, practically any supplier with general experience in automotive electrical systems or electronics and a corresponding "goodwill" with automobile manufacturers could qualify as a potential supplier and competitor.</w:t>
      </w:r>
    </w:p>
    <w:p>
      <w:r>
        <w:t>144. The Commission's investigations have shown that the "goodwill" a supplier has with automobile manufacturers is of great importance for obtaining new contracts. While this means that the pool of potential competitors is limited, potential competition from established suppliers who are not yet or only very weakly represented in the market for immobilizers remains very effective. This is particularly true for immobilizers, as they are produced individually and custom-made for specific vehicle types.</w:t>
      </w:r>
    </w:p>
    <w:p>
      <w:r>
        <w:t>145. Therefore, Siemens will not be able to strengthen its strong position through the very low market share increase of [&lt;5]%. It is expected that other competitors, such as Valeo, Delphi, but also Magneti Marelli and Eaton, will attempt to gain market shares.</w:t>
      </w:r>
    </w:p>
    <w:p>
      <w:r>
        <w:t>146. In consideration of these arguments, the Commission concludes that the merger in the market for immobilizers will not lead to the emergence or strengthening of a dominant market position.</w:t>
      </w:r>
    </w:p>
    <w:p>
      <w:r>
        <w:t>Navigation Systems</w:t>
      </w:r>
    </w:p>
    <w:p>
      <w:r>
        <w:t>147. According to the parties, Siemens achieves a market share of [&lt;5]% in the EEA, and VDO achieves a market share of [30-40]% with a total market volume of €516 million. Competitors include Blaupunkt/Bosch [25-35%], Becker [0-10%], Alpine [&lt;5%], and Others ([20-30]%).</w:t>
      </w:r>
    </w:p>
    <w:p>
      <w:r>
        <w:t>148. The market for navigation systems is relatively young. Therefore, the market shares have only limited significance for assessing the market situation. Siemens itself only entered the market in 1997, and Becker in 1998. Some innovation-driven suppliers, such as Magneti Marelli and Visteon, are preparing to enter the market, while Delphi and Yazaki are working on developing their own systems, as the Commission's investigations have revealed. Computer-based automotive communication is considered by market participants to be a dynamic future market, where the ability to innovate will determine the future competitive positions of suppliers. The investigation conducted by the Commission found no indications that the merger would change the market situation in such a way that Siemens could dominate the market.</w:t>
      </w:r>
    </w:p>
    <w:p>
      <w:r>
        <w:t>149. In consideration of these arguments, the described purchasing power of automobile manufacturers, as well as the competitive alternatives still available to customers, the Commission concludes that there are no serious concerns regarding compatibility with the common market for the market for navigation systems.</w:t>
      </w:r>
    </w:p>
    <w:p>
      <w:r>
        <w:t>Locking Systems (Central Locking)</w:t>
      </w:r>
    </w:p>
    <w:p>
      <w:r>
        <w:t>150. According to the parties, Siemens achieves a market share of [35-45]% in the EEA, and VDO achieves a market share of [5-10]% with a total market volume of […] million €. Competitors include Valeo ([10-20%]), Hella ([5-10%]), Kiekert [5-10%], TRW [5-10%], Kostal [5-10%].</w:t>
      </w:r>
    </w:p>
    <w:p>
      <w:r>
        <w:t>151. The Commission's investigations have shown that the market shares of competitors have remained relatively constant in recent years. However, market participants expect a change in the market towards new access systems, into which the "locking systems" will be integrated in the future. According to market participants, Siemens will face strong competition from Bosch, Valeo, Delphi, Visteon, and Marquardt. For assessing the competitive situation, the strong position of automobile manufacturers as customers and their ability to switch suppliers must also be taken into account. Competitors and customers of Siemens have not expressed any concerns to the Commission regarding the merger.</w:t>
      </w:r>
    </w:p>
    <w:p>
      <w:r>
        <w:t>152. In consideration of the above arguments, the Commission concludes that there are no serious concerns regarding compatibility with the common market for the market for immobilizers.</w:t>
      </w:r>
    </w:p>
    <w:p>
      <w:r>
        <w:t>Cockpits</w:t>
      </w:r>
    </w:p>
    <w:p>
      <w:r>
        <w:t>153. According to the parties, VDO achieves a market share of about [25-35]% in the EEA, and Siemens achieves a market share of [&lt;5]% through the jointly controlled joint venture SAS Automationstechnik, GmbH &amp; Co. KG (SAS), with the parties assuming a market volume of […] million € in the EU. Leading competitors, according to the parties, include Visteon ([10-20%]), Magneti Marelli ([5-10%]), Lear ([5-10%]), Delphi ([5-10%]).</w:t>
      </w:r>
    </w:p>
    <w:p>
      <w:r>
        <w:t>154. The market for integrated cockpits is still in its infancy. In this respect, the significance of market shares is limited, especially since the market is constantly changing with regard to the varying degrees of integration of the different components into a pre-assembled cockpit. So far, [the vast majority]% of all cockpits have been assembled by the automobile manufacturers themselves. The question of "outsourcing" the cockpit is re-examined by automobile manufacturers from an economic perspective with each new model series, and a bidding competition may be announced for this purpose. The high market share of VDO is primarily based on the contractual relationship between VDO and the [VDO contracting partner], the manufacturer of the small car [confidential]. [VDO contracting partner] is pursuing a strategy of extensive outsourcing of development and assembly work. However, this model is currently not being pursued by any other automobile manufacturer in Europe.</w:t>
      </w:r>
    </w:p>
    <w:p>
      <w:r>
        <w:t>155. The Commission's investigations have shown that specific expertise for the market for integrated cockpits, which is likely to grow in the future, is considered very important by customers and competitors. Both the surveyed automobile manufacturers and competitors attribute this expertise not only to Siemens and VDO but also to other large companies. Furthermore, in addition to the already current competitors in the cockpit market, there are some component manufacturers that could pose strong potential competition and have already made investments to position themselves in this market.</w:t>
      </w:r>
    </w:p>
    <w:p>
      <w:r>
        <w:t>156. The Commission has also taken into account that integrated cockpits are produced for each automobile manufacturer and that they have significant purchasing power, which limits the supply power of the competing companies. Due to the already existing and potential competitors in this market and the purchasing power of automobile manufacturers, it is therefore not evident that Siemens could achieve a dominant market position after the merger. The market participants surveyed during the market investigation did not express any concerns to the Commission regarding the merger.</w:t>
      </w:r>
    </w:p>
    <w:p>
      <w:r>
        <w:t>157. In consideration of the above arguments, the Commission concludes that there are no serious concerns regarding compatibility with the common market for the market for cockpits.</w:t>
      </w:r>
    </w:p>
    <w:p>
      <w:r>
        <w:t>IAM</w:t>
      </w:r>
    </w:p>
    <w:p>
      <w:r>
        <w:t>Speed and Temperature Sensors</w:t>
      </w:r>
    </w:p>
    <w:p>
      <w:r>
        <w:t>158. The only overlaps in the IAM markets arise, according to the parties, in the area of speed and temperature sensors in Germany. However, this results in only a very small market share addition: In speed sensors, Siemens achieves a market share of [&lt;5]% with a market share of VDO of [25-35]% and a total market volume of […] million €, while in temperature sensors, Siemens achieves a market share of less than [&lt;5]% with a market share of VDO of [20-30]% and a total market volume of […] million €.</w:t>
      </w:r>
    </w:p>
    <w:p>
      <w:r>
        <w:t>159. The market investigation has shown that VDO's market share could be slightly higher. In any case, given the low market share addition and the strong competitors, particularly Bosch (speed sensors [30-40%]; temperature sensors [15-25%]), the emergence or strengthening of a dominant market position is not to be expected, which has been confirmed by the market investigation conducted by the Commission.</w:t>
      </w:r>
    </w:p>
    <w:p>
      <w:r>
        <w:t>CONCLUSION</w:t>
      </w:r>
    </w:p>
    <w:p>
      <w:r>
        <w:t>160. The Commission has concluded that the commitment made by the parties and attached as an annex is sufficient to allay competitive concerns in the markets for letter sorting systems and for reading and coding systems. In the other affected markets, the emergence or strengthening of a dominant market position as a result of the merger, which would significantly impede effective competition in the EEA or a substantial part thereof, is not to be expected.</w:t>
      </w:r>
    </w:p>
    <w:p>
      <w:r>
        <w:rPr>
          <w:b/>
        </w:rPr>
        <w:t>[Pages 31–31]</w:t>
      </w:r>
    </w:p>
    <w:p>
      <w:r>
        <w:t>161. The Commission has decided, for the reasons mentioned above, not to raise any objections to the notified project, provided that the commitments made are adhered to. Consequently, it declares the project compatible with the Common Market and the EEA Agreement. This decision is adopted in accordance with Article 6(2) of Council Regulation (EEC) No. 4064/89 and Article 57 of the Agreement on the European Economic Area. For the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