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https://ec.europa.eu/competition/mergers/cases/decisions/m2060_de.pdf</w:t>
      </w:r>
    </w:p>
    <w:p>
      <w:r>
        <w:t>Pages translated : 26</w:t>
      </w:r>
    </w:p>
    <w:p/>
    <w:p>
      <w:r>
        <w:rPr>
          <w:b/>
        </w:rPr>
        <w:t>[Pages 1–3]</w:t>
      </w:r>
    </w:p>
    <w:p>
      <w:r>
        <w:t xml:space="preserve">Case No. COMP/M.2060  </w:t>
        <w:br/>
        <w:t xml:space="preserve">- Bosch/Rexroth  </w:t>
        <w:br/>
        <w:t xml:space="preserve">Only the German text is available and binding.  </w:t>
        <w:br/>
        <w:t xml:space="preserve">REGULATION (EEC) No. 4064/89  </w:t>
        <w:br/>
        <w:t xml:space="preserve">ON MERGER PROCEDURES  </w:t>
        <w:br/>
        <w:t xml:space="preserve">Article 8(2)  </w:t>
        <w:br/>
        <w:t>Date: 04/12/2000</w:t>
      </w:r>
    </w:p>
    <w:p>
      <w:r>
        <w:t xml:space="preserve">This text is published for informational purposes only and does not constitute an official publication.  </w:t>
        <w:br/>
        <w:t xml:space="preserve">The official wording of the decision will be published in the Official Journal of the European Communities.  </w:t>
        <w:br/>
        <w:t xml:space="preserve">Non-confidential  </w:t>
        <w:br/>
        <w:t xml:space="preserve">DECISION OF THE COMMISSION  </w:t>
        <w:br/>
        <w:t xml:space="preserve">of 12.01.2001  </w:t>
        <w:br/>
        <w:t xml:space="preserve">on the compatibility of a merger with the Common Market and the EEA Agreement  </w:t>
        <w:br/>
        <w:t xml:space="preserve">-----------------------------------------------------------  </w:t>
        <w:br/>
        <w:t xml:space="preserve">(Case COMP/M. 2060 – Bosch/Rexroth)  </w:t>
        <w:br/>
        <w:t xml:space="preserve">(Only the German text is binding)  </w:t>
        <w:br/>
        <w:t xml:space="preserve">(Text of relevance for the EEA)  </w:t>
        <w:br/>
        <w:t xml:space="preserve">THE COMMISSION OF THE EUROPEAN COMMUNITIES  </w:t>
        <w:br/>
        <w:t xml:space="preserve">having regard to the Treaty establishing the European Community,  </w:t>
        <w:br/>
        <w:t xml:space="preserve">having regard to the Agreement on the European Economic Area, in particular to  </w:t>
        <w:br/>
        <w:t xml:space="preserve">Article 57(2)(a)  </w:t>
        <w:br/>
        <w:t xml:space="preserve">having regard to Council Regulation (EEC) No. 4064/89 of 21 December on the  </w:t>
        <w:br/>
        <w:t xml:space="preserve">control of concentrations between undertakings1, as last amended by Regulation  </w:t>
        <w:br/>
        <w:t xml:space="preserve">(EC) No. 1310/972, in particular Article 8(2),  </w:t>
        <w:br/>
        <w:t xml:space="preserve">having regard to the Commission's decision of 29.8.2000 to initiate proceedings in this  </w:t>
        <w:br/>
        <w:t xml:space="preserve">matter  </w:t>
        <w:br/>
        <w:t xml:space="preserve">1 OJ L 395 of 30.12.1989, p. 1, corrected version OJ L 257 of 21.09.1990, p. 13.  </w:t>
        <w:br/>
        <w:t xml:space="preserve">2 OJ L 180 of 9.07.1990, p. 1.  </w:t>
        <w:br/>
        <w:t xml:space="preserve">B-1049 Brussels/Wetstraat 200, B-1049 Brussels - Belgium  </w:t>
        <w:br/>
        <w:t xml:space="preserve">Telephone: Central 299.11.11  </w:t>
        <w:br/>
        <w:t>Telex: COMEU B 21877. Telegram address: COMEUR Brussels.</w:t>
      </w:r>
    </w:p>
    <w:p>
      <w:r>
        <w:t xml:space="preserve">This text is published for informational purposes only and does not constitute an official publication.  </w:t>
        <w:br/>
        <w:t xml:space="preserve">after hearing the Advisory Committee on Concentrations3  </w:t>
        <w:br/>
        <w:t xml:space="preserve">considering the following reasons:  </w:t>
        <w:br/>
        <w:t xml:space="preserve">1. On 13.07.2000, a notification of a merger project was received by the Commission in accordance with Article 4 of Council Regulation (EEC) No. 4064/89.  </w:t>
        <w:br/>
        <w:t xml:space="preserve">According to this, Robert Bosch GmbH ("Bosch") intends to acquire control over Mannesmann Rexroth AG ("Rexroth") within the meaning of Article 3(1)(b) of the Council Regulation. Rexroth is a subsidiary of Mannesmann Atecs AG ("Atecs"), a holding company of Mannesmann AG.  </w:t>
        <w:br/>
        <w:t xml:space="preserve">2. Following the examination of the notification, the Commission found that the notified project falls within the scope of Council Regulation (EEC) No. 4064/89 and raises serious doubts regarding its compatibility with the Common Market and the EEA Agreement. Therefore, on 29.8.2000, the Commission made the decision pursuant to Article 6(1)(c) to initiate proceedings in accordance with Article 6(1)(c) and Article 57 of the EEA Agreement.  </w:t>
        <w:br/>
        <w:t xml:space="preserve">The Advisory Committee discussed the draft of this decision on 4 December 2000.  </w:t>
        <w:br/>
        <w:t xml:space="preserve">I. THE ACTIVITIES OF THE PARTIES  </w:t>
        <w:br/>
        <w:t xml:space="preserve">3. BOSCH operates internationally in the fields of automotive technology, communication technology, as well as consumer goods (power tools, household appliances, etc.) and capital goods (automation technology, packaging machines).  </w:t>
        <w:br/>
        <w:t xml:space="preserve">4. REXROTH operates directly or through subsidiaries in the business areas of hydraulics (hydraulic drive, control, and regulation components, units and systems, pumps, motors, and gearbox technology), as well as automation (electrical control and drive components, motion and control technology).  </w:t>
        <w:br/>
        <w:t xml:space="preserve">II. THE PROJECT  </w:t>
        <w:br/>
        <w:t xml:space="preserve">A. Background of the Merger  </w:t>
        <w:br/>
        <w:t xml:space="preserve">5. Mannesmann was acquired by Vodafone Airtouch plc in spring 2000. The aim of the acquisition was to create an international telecommunications provider. Consequently, Mannesmann decided to divest its engineering and automotive activities. For the purpose of the divestiture, the five companies Dematic, VDO, Sachs, Demag Krauss-Maffei, and Rexroth were placed under the umbrella of the interim holding company Atecs.  </w:t>
        <w:br/>
        <w:t xml:space="preserve">3 OJ.  </w:t>
        <w:br/>
        <w:t>4 Cf. Commission Decision COMP/M. 1795 of 12.04.2000.</w:t>
      </w:r>
    </w:p>
    <w:p>
      <w:r>
        <w:rPr>
          <w:b/>
        </w:rPr>
        <w:t>[Pages 4–6]</w:t>
      </w:r>
    </w:p>
    <w:p>
      <w:r>
        <w:t xml:space="preserve">This text is published for informational purposes only and does not constitute an official publication.  </w:t>
        <w:br/>
        <w:t xml:space="preserve">Shareholders of Atecs are currently Mannesmann (54%) and its wholly-owned subsidiary Mannesmann Investment GmbH ("Mannesmann Investment") (46%).  </w:t>
        <w:br/>
        <w:t xml:space="preserve">6. Siemens intends to acquire sole control over Atecs and thereby also over the subsidiaries of Atecs. Immediately following this transaction, Bosch will acquire sole control over Rexroth within the meaning of Article 3(1)(b) of the Council Regulation. This merger is the subject of the present proceedings.  </w:t>
        <w:br/>
        <w:t xml:space="preserve">1. B. Implementation of the Project  </w:t>
        <w:br/>
        <w:t xml:space="preserve">7. Siemens acquires sole control of Atecs by acquiring 50% plus 2 shares of the share capital. Mannesmann – which will continue to hold 50% minus 2 shares of the shares of Atecs – will abstain from voting at the general meeting.  </w:t>
        <w:br/>
        <w:t xml:space="preserve">8. The share acquisition is structured as follows: Mannesmann Investment will sell its 46% stake in Atecs to Siemens. As a result of a capital increase, in which Mannesmann intends to waive its subscription rights, Siemens will then receive 50% of the share capital of Atecs plus two shares based on the newly issued shares. Additionally, Siemens and Mannesmann have agreed on an irrevocable purchase or sale option regarding the remaining Atecs shares held by Mannesmann, which can be exercised by Siemens from April 1, 2002, to December 31, 2003, and by Mannesmann from the date of closing until September 30, 2002.  </w:t>
        <w:br/>
        <w:t xml:space="preserve">C. Bosch's Sole Control Acquisition over Rexroth  </w:t>
        <w:br/>
        <w:t xml:space="preserve">9. Immediately following Siemens' acquisition of control over Atecs, Bosch will acquire sole control over Rexroth.  </w:t>
        <w:br/>
        <w:t xml:space="preserve">10. A lease agreement and a domination agreement will be concluded between Bosch and Rexroth. These agreements assign Bosch the entrepreneurial control over Rexroth.  </w:t>
        <w:br/>
        <w:t xml:space="preserve">11. The lease agreement stipulates that the operation of Rexroth's business is solely the responsibility of Bosch, which operates the leased company in its own name and for its own account (§ 1 Abs. 2 Rexroth Operating Lease Agreement (BPV)). For this purpose, Rexroth will provide Bosch with all company assets for use. The lease payment to be made to Rexroth according to § 9 BPV is a fixed monthly amount, which is independent of the economic success of the leased company.  </w:t>
        <w:br/>
        <w:t xml:space="preserve">12. The domination agreement places Rexroth under the management of the controlling company Bosch, which is then entitled to issue instructions to the board of directors of Rexroth. The "profit share" payable to Rexroth is a fixed amount, which is set once and is independent of the development of the business operations.  </w:t>
        <w:br/>
        <w:t xml:space="preserve">13. In addition to these agreements between Bosch and Rexroth, Bosch and Siemens, the latter as a shareholder of Rexroth, have also made agreements in a 3rd amendment to the Supplemental Consortium Agreement (EKV) that further secure Bosch's control over Rexroth:  </w:t>
        <w:br/>
        <w:t xml:space="preserve">14. According to Section III(1) EKV, Siemens and Bosch have agreed that the sole entrepreneurial responsibility and control of Rexroth lies with Bosch.  </w:t>
        <w:br/>
        <w:t xml:space="preserve">15. According to Section III(4) EKV, Siemens undertakes to exercise its voting rights at the general meeting of Rexroth solely in accordance with Bosch's instructions. Siemens will ensure that only the persons designated by Bosch are elected as shareholder representatives to the supervisory board of Rexroth.  </w:t>
        <w:br/>
        <w:t xml:space="preserve">16. According to Section IV(3) EKV, all opportunities and risks associated with the business of Rexroth, including financing responsibility, lie solely with Bosch.  </w:t>
        <w:br/>
        <w:t xml:space="preserve">17. Atecs, as a shareholder of Rexroth, and – through Atecs – its parent company Siemens, therefore have no influence rights regarding Rexroth. Their ownership interest in Rexroth is also limited to the lease income and the flat-rate "profit share" generated by Rexroth.  </w:t>
        <w:br/>
        <w:t xml:space="preserve">III. COMMUNITY-WIDE SIGNIFICANCE  </w:t>
        <w:br/>
        <w:t xml:space="preserve">18. The companies involved have a combined worldwide turnover of more than €5,000 million (Bosch €27,906 million, Rexroth €[…] million) and each achieves a community-wide turnover of more than €250 million (Bosch €[…] million, Rexroth €[…] million). The parties do not achieve more than two-thirds of their community-wide turnover in the same Member State. The project therefore has community-wide significance. It also does not constitute a cooperation case under the EEA Agreement.  </w:t>
        <w:br/>
        <w:t xml:space="preserve">IV. COMPATIBILITY WITH THE COMMON MARKET  </w:t>
        <w:br/>
        <w:t xml:space="preserve">(1) Relevant Product Markets  </w:t>
        <w:br/>
        <w:t xml:space="preserve">19. Bosch and Rexroth are both engaged in the manufacture and distribution of automation technology products, with Bosch operating in its automation technology division and Rexroth in its divisions Rexroth Hydraulics, Brueninghaus Hydromatik, Lohmann &amp; Stolterfoht, Rexroth Indramat, Rexroth Star, Rexroth Mecman, and Rexroth Foundry.  </w:t>
        <w:br/>
        <w:t xml:space="preserve">20. The parties categorize the activities of the involved companies into the categories "Hydraulics," "Drive Technology Gearboxes," "Pneumatics," "Electric Drives and Controls," "Linear Technology/Linear Systems," "Assembly and Deburring Technology," "Screw and Press Systems," and "Foundry."  </w:t>
        <w:br/>
        <w:t xml:space="preserve">* Portions of this text have been omitted to ensure that no confidential information is disclosed; these portions are marked with square brackets and an asterisk.  </w:t>
        <w:br/>
        <w:t xml:space="preserve">1. Hydraulics  </w:t>
        <w:br/>
        <w:t xml:space="preserve">21. Hydraulics, in a technical sense, refers to the transmission of energy and signals through pressurized fluids in closed or open systems. In engineering, a distinction is made between hydrostatics, which involves the transmission of energy and signals through the static pressure of a fluid, and hydrodynamics, where energy and signal transmission occurs through kinetic energy. Both techniques are used in many drive and control solutions.  </w:t>
        <w:br/>
        <w:t xml:space="preserve">22. Based on differences in design and purpose, a distinction is made between industrial hydraulics and mobile hydraulics. Although the components used in industrial and mobile hydraulics are fundamentally based on the same technical principles, the Commission agrees with the parties that they belong to separate relevant product markets. The decisive factor here is primarily the differences in design, size, operating pressures, and lifespan, which arise from the different performance requirements. In terms of lifespan and load capacity, the requirements for component systems in industrial hydraulics are significantly higher, as they are designed for continuous industrial operation. In contrast, the components of mobile hydraulics must be optimized for weight and be resistant to vibration for use in mobile machinery. These differences and their resulting different industrial applicability justify the fact that components of industrial hydraulics are generally not interchangeable with those of mobile hydraulics.  </w:t>
        <w:br/>
        <w:t xml:space="preserve">Hydraulic Components  </w:t>
        <w:br/>
        <w:t xml:space="preserve">23. A hydraulic system used in industry typically consists of the same key components. Hydraulic energy is generated by a mechanically driven hydraulic pump, which can be directed through valves and transformed into mechanical energy via the hydraulic cylinder or hydraulic motor.  </w:t>
        <w:br/>
        <w:t>24. According to the parties, the individual components in a hydraulic system are not interchangeable in their function. The parties further state that these components are sold individually by the hydraulic industry to machine manufacturers. Although the Commission's investigations have shown that hydraulic components are sometimes sold as a system, the market definition of the parties has been largely confirmed by the investigations. The majority of customers purchase the respective hydraulic components individually. There are no technical requirements for customers to purchase these components as a system. Furthermore, the market investigation has shown that the individual hydraulic components are generally not adapted for specific industries. Therefore, independent product markets can be established for hydraulic pumps, hydraulic motors, hydraulic valves including electronics, and hydraulic accessories in industrial hydraulics.</w:t>
      </w:r>
    </w:p>
    <w:p>
      <w:r>
        <w:rPr>
          <w:b/>
        </w:rPr>
        <w:t>[Pages 7–9]</w:t>
      </w:r>
    </w:p>
    <w:p>
      <w:r>
        <w:t xml:space="preserve">This text is published for informational purposes only and does not constitute an official publication.  </w:t>
        <w:br/>
        <w:t xml:space="preserve">as well as hydraulic units and control blocks can be distinguished (cf. also Case No. IV/M.152 - Volvo/Atlas).  </w:t>
        <w:br/>
        <w:t xml:space="preserve">1.1. Industrial Hydraulics  </w:t>
        <w:br/>
        <w:t xml:space="preserve">25. According to the parties, the market for industrial hydraulics also consists of various component markets. These include hydraulic pumps, hydraulic motors, hydraulic cylinders, hydraulic valves, hydraulic accessories, and hydraulic units and control blocks.  </w:t>
        <w:br/>
        <w:t xml:space="preserve">1.1.1. Hydraulic Pumps  </w:t>
        <w:br/>
        <w:t xml:space="preserve">26. The parties believe that the market for hydraulic pumps can be further divided into sub-markets. Accordingly, the different types of hydraulic pumps form separate markets. According to the parties, the technical solutions and operating principles are so different that they are not interchangeable. In this regard, they distinguish between axial piston pumps, radial piston pumps, vane pumps, and gear pumps as separate markets.  </w:t>
        <w:br/>
        <w:t xml:space="preserve">27. A gear pump is a hydraulic pump with two or more interworking gears in a housing. The volume formation occurs between the gear teeth and the housing walls. Gear pumps are fundamentally designed as constant pumps. Gear pumps are inexpensive and have a wide speed range (depending on the design, up to 6000 rpm).  </w:t>
        <w:br/>
        <w:t xml:space="preserve">28. Vane pumps have movable blocking bodies (vanes) that are radially guided in a rotor and rest against an eccentric hub ring. This results in increasing and decreasing displacement volume during a rotation. Vane pumps can be designed as either constant pumps or variable displacement pumps.  </w:t>
        <w:br/>
        <w:t xml:space="preserve">29. The Commission's investigation has confirmed this market division in that vane pumps and gear pumps do not belong to the market for piston pumps (axial and radial piston pumps). Piston pumps are not substitutable by gear pumps. This is primarily because the gear pump is always a constant pump, while piston pumps are usually variable displacement pumps. According to the interviewed customers, piston pumps are also not substitutable by vane pumps. The main reason for this is the limitation in the operating pressure of vane pumps (max. 200 bar).  </w:t>
        <w:br/>
        <w:t xml:space="preserve">1.1.1.1. Piston Pumps  </w:t>
        <w:br/>
        <w:t xml:space="preserve">30. According to the parties, axial piston pumps and radial piston pumps cannot be assigned to a unified market for hydraulic piston pumps. While the displacement principle is similar for both types, there are some differences. For instance, radial piston pumps, according to the parties, only operate at speeds up to 1,800 revolutions per minute, making them unsuitable for being driven by significantly faster combustion engines. Axial piston pumps, on the other hand, operate at speeds of up to 3,000 revolutions per minute. Therefore, they can be driven by combustion engines and are, according to the parties, particularly suitable for use in the field of mobile hydraulics, unlike radial piston pumps.  </w:t>
        <w:br/>
        <w:t xml:space="preserve">31. Another relevant difference, according to the parties, concerns the generation of working pressure. While radial piston pumps generate a working pressure of up to 350 bar, axial piston pumps can generate up to 450 bar, which enables their use in industrial hydraulics with specific pressure requirements. Furthermore, axial piston pumps achieve a maximum flow rate of 1000 cm³, while the flow rate of radial piston pumps is limited to 250 cm³. Additionally, radial piston pumps are more complex in design, and their acquisition costs are therefore higher. In relation to axial piston pumps, they exhibit lower wear and a longer maintenance-free lifespan, according to the parties. The absence of non-ferrous metals leads to advantages of the radial piston pump when pumping water-based special fluids. As a result, the parties believe that the mentioned differences establish separate markets for axial piston pumps and radial piston pumps.  </w:t>
        <w:br/>
        <w:t xml:space="preserve">32. The Commission's investigations have shown that the ability of the axial piston pump to operate at higher speeds does not play a role in industrial hydraulics, as the pumps in industrial hydraulics are predominantly not driven by combustion engines. While this advantage is important in mobile hydraulics, it does not play a role in the market for industrial hydraulics under examination here. The higher possible pressure and greater possible flow rate of the axial piston pump compared to a radial piston pump are, however, specific advantages for this pump, as they allow for more versatile usability. In the vast majority of cases, it is possible to replace a radial piston pump with an axial piston pump. Conversely, this is not possible to the same extent due to the technical limitations regarding maximum pressure and flow rate of the radial piston pump. Regarding the higher acquisition costs of the radial piston pump, the Commission's investigations have shown that the price disadvantage from the customers' perspective is compensated by their lower wear and longer maintenance intervals, so that when considering the total lifespan of the pump, there is direct competition between the two pump types. The specific advantages of the radial piston pump regarding the use of water-based special solutions are, in the vast majority of cases, not relevant to the customer, as these pressure fluids are very rarely used in hydraulic systems.  </w:t>
        <w:br/>
        <w:t xml:space="preserve">33. As a result, the Commission concludes that there is significant substitutability between the two pump types. In the design phase of a new generation of machines, the manufacturer is free to choose between using a radial or an axial piston pump. Once a pump type has been chosen, the machine in which the pump is used is designed according to the specific requirements of the chosen pump type. This usually occurs before the design of a new generation of machines, as at this stage the different characteristics of the pumps can still be taken into account. The market investigation has shown that buyers of axial and radial piston pumps also consciously solicit bids from Bosch and Rexroth against each other to initiate price and quality competition.  </w:t>
        <w:br/>
        <w:t xml:space="preserve">34. Therefore, for the purposes of this decision, the Commission concludes that axial and radial piston pumps belong to a common market for piston pumps.  </w:t>
        <w:br/>
        <w:t xml:space="preserve">1.1.2. Industrial Hydraulic Valves and Electronics  </w:t>
        <w:br/>
        <w:t xml:space="preserve">35. Valves serve in hydraulic systems to control or regulate the flow of hydraulic fluid by influencing the start, stop, direction, pressure, and size of the flow volume. They are sold as individual components or as parts of equipped control blocks and hydraulic units. The notifying parties assume that only the valves sold as individual components can be attributed to this market, while the valves sold as parts of equipped control blocks and hydraulic units are attributed to the market for hydraulic units and control blocks.  </w:t>
        <w:br/>
        <w:t xml:space="preserve">36. Closely related to the valves is the electronics and sensors built into the hydraulic system for system control. The electronic components and sensors used are tailored for use in hydraulic systems and are sold together with the valves.  </w:t>
        <w:br/>
        <w:t xml:space="preserve">37. Both Bosch and Rexroth manufacture hydraulic valves. The variety of different valve designs, which can perform either a single or multiple control functions, are, according to the parties, only conditionally interchangeable due to their design, properties, and fields of application, and can be divided into the following product groups:  </w:t>
        <w:br/>
        <w:t xml:space="preserve">• Hydromechanical flow, pressure, and check valves (SDS),  </w:t>
        <w:br/>
        <w:t xml:space="preserve">• Directional valves and cartridge valves, and  </w:t>
        <w:br/>
        <w:t xml:space="preserve">• Continuous valves (proportional and servo valves).  </w:t>
        <w:br/>
        <w:t xml:space="preserve">1.1.2.1. Hydromechanical Flow, Pressure, and Check Valves  </w:t>
        <w:br/>
        <w:t>38. Hydromechanical flow, pressure, and check valves control the size of the flow volume, the desired system pressure, and block a fluid flow in one direction in a hydraulic circuit. The Commission's investigation has confirmed the parties' view that hydromechanical flow, pressure, and check valves differ in terms of their application possibilities from directional valves and cartridge valves and proportional and servo valves.</w:t>
      </w:r>
    </w:p>
    <w:p>
      <w:r>
        <w:rPr>
          <w:b/>
        </w:rPr>
        <w:t>[Pages 10–12]</w:t>
      </w:r>
    </w:p>
    <w:p>
      <w:r>
        <w:t xml:space="preserve">This text is published for informational purposes only and does not constitute an official publication.  </w:t>
        <w:br/>
        <w:t xml:space="preserve">1.1.2.2. Directional Valves and Cartridge Valves  </w:t>
        <w:br/>
        <w:t xml:space="preserve">39. Directional valves and cartridge valves primarily control the direction of the flow volume as well as its start and stop. The Commission's investigation has confirmed the parties' view that directional valves and cartridge valves differ in terms of their application possibilities from hydromechanical flow, pressure, and check valves as well as from proportional and servo valves.  </w:t>
        <w:br/>
        <w:t xml:space="preserve">1.1.2.3. Continuous Valves (Proportional and Servo Valves)  </w:t>
        <w:br/>
        <w:t xml:space="preserve">40. There is no uniform terminology for continuously adjustable valves in the hydraulic industry. While in German, the term "Stetigventile" is predominantly used as an umbrella term for continuously adjustable pressure, flow, and directional valves, in English the term "proportional valves" is chosen as the corresponding umbrella term. Continuous valves can be electrically adjusted depending on their design with respect to all the necessary parameters for controlling a hydraulic circuit, such as the size of the flow volume, system pressure, and blocking of a fluid flow, start and stop, as well as the direction of the oil flow. This allows a variable input signal in a hydraulic system to be converted into a proportional hydraulic or pneumatic output signal. Continuous valves technically differ from the aforementioned types of valves by the mechanism that allows the valve to recognize not just two switching alternatives (open/closed or left/right or 100%/0%), but a variety of individual switching stages.  </w:t>
        <w:br/>
        <w:t xml:space="preserve">41. Continuous valves are thus characterized by being adjustable in a more variable manner than the aforementioned valve types and can therefore be used for more complex applications. For this reason, the Commission assumes for the purposes of this decision that continuous valves differ from the non-continuously adjustable valve markets mentioned above.  </w:t>
        <w:br/>
        <w:t xml:space="preserve">42. There are no clear determinations or binding standards in industrial hydraulics for distinguishing between different types of continuously adjustable valves. However, a distinction is primarily made between  </w:t>
        <w:br/>
        <w:t xml:space="preserve">• Proportional valves,  </w:t>
        <w:br/>
        <w:t xml:space="preserve">• Control valves, and  </w:t>
        <w:br/>
        <w:t xml:space="preserve">• Servo valves.  </w:t>
        <w:br/>
        <w:t xml:space="preserve">43. In a proportional valve, a control slider is moved with high precision within a valve housing by magnetic forces to achieve the desired control variable (proportionally between 0% and 100% of the possible variance). They exist in both regulated and unregulated forms, with regulated and unregulated valves differing primarily in the effort of the applied electronics. Unregulated valves, unlike control valves, do not have electrical feedback during switching and are therefore slower and less accurate. Servo valves serve to amplify signal impulses (low current signal from the control of the system). A magnet deflects an oil jet nozzle inside the valve so that a very fine oil jet is directed either left or right next to a control slider, which can thus be moved with high precision to the left or right in the main valve.  </w:t>
        <w:br/>
        <w:t xml:space="preserve">44. According to the parties, all these continuously adjustable valves belong to one market, as they are completely interchangeable in terms of their functionality and application flexibility. The parties state that manufacturers of continuously adjustable valves market them as standardized products characterized by standardized connection images and a predetermined functionality, referred to as valve hardware. According to the parties, the various types of continuously adjustable valves are characterized by significant application flexibility on both the demand and supply sides. The functionality of a continuously adjustable valve is therefore determined by its physical design. Depending on the bore in the valve block and the control and regulation capability of the valve, the valve achieves a steering or volume change of the hydraulic power within the hydraulic system. The functionality is applicable in all types of machines where this is required. According to the parties, there is no adaptation of the valve hardware for use in a specific machine type.  </w:t>
        <w:br/>
        <w:t xml:space="preserve">45. However, the Commission's investigation has revealed that the market for continuous valves could be divided into further distinguishable sub-markets. The investigation has confirmed the parties' statements that there are standardized connection images for the various valve types; however, their interchangeability in terms of functionality and price is limited. The surveyed market participants do not differentiate between proportional valves, control valves, and servo valves in terms of functionality, but often based on the performance characteristics for dynamics (corner frequency), hysteresis, and positioning error.  </w:t>
        <w:br/>
        <w:t xml:space="preserve">46. Furthermore, regulated and unregulated proportional valves differ according to market participants in terms of function and price. Regulated proportional valves are faster and more accurate and are therefore used for higher-quality positioning tasks. They are approximately one and a half to two and a half times more expensive than unregulated proportional valves.  </w:t>
        <w:br/>
        <w:t xml:space="preserve">47. In contrast, unregulated servo valves are used very rarely and serve only to control small flow volumes (up to about 50 l/min). They are on a roughly similar price level as regulated proportional valves, while regulated servo valves are significantly more expensive. These are used to control larger hydraulic powers and for higher-quality control engineering requirements.  </w:t>
        <w:br/>
        <w:t xml:space="preserve">48. Whether and how individual sub-markets can be delineated in the overall market for valves can remain open for the purposes of this decision, as no conceivable market delineation is expected to lead to the emergence or strengthening of a dominant market position.  </w:t>
        <w:br/>
        <w:t xml:space="preserve">1.1.3. Hydraulic Units and Control Blocks  </w:t>
        <w:br/>
        <w:t xml:space="preserve">49. Hydraulic units and control blocks are prefabricated independent assemblies made up of hydraulic components and accessories. In hydraulic units, electrical energy (through electric motors) or thermal energy (through combustion engines) is converted into hydraulic energy. In both cases, the rotational movement and torque of the drive motor are converted into flow volume and pressure by a hydraulic pump. A hydraulic unit consists of a motor, pump, valves, control blocks, and various accessories.  </w:t>
        <w:br/>
        <w:t xml:space="preserve">50. A control block is a metal block that can accommodate several valves through installation or attachment. The connections required for the function of the control block are drilled into the block and connected with corresponding lines. Control blocks are characterized by their compact design and the low number of sealing points.  </w:t>
        <w:br/>
        <w:t xml:space="preserve">51. Hydraulic units and control blocks are manufactured and sold as complete solutions. They are used as assemblies in industrial plants such as machine tools.  </w:t>
        <w:br/>
        <w:t xml:space="preserve">52. Whether control blocks and units form a common market or separate markets can remain open for the purposes of this decision, as no conceivable market delineation is expected to lead to the emergence or strengthening of a dominant market position.  </w:t>
        <w:br/>
        <w:t xml:space="preserve">1.2. Mobile Hydraulics  </w:t>
        <w:br/>
        <w:t xml:space="preserve">53. Based on the distinction between industrial and mobile hydraulics, the Commission assumes for the purposes of this decision that there are independent component markets for hydraulic pumps, hydraulic motors, mobile cylinders, hydrostatic transmissions, mobile valves, and electronics and hydraulic accessories.  </w:t>
        <w:br/>
        <w:t xml:space="preserve">1.2.1. Mobile Valves  </w:t>
        <w:br/>
        <w:t xml:space="preserve">54. The Commission's investigations have particularly confirmed the parties' view that mobile valves cannot be divided into further sub-markets due to the high integration of the function of the valves into control blocks on the one hand and the special design of the valves for special tasks on the other hand. However, it can remain open whether the component markets for pumps and motors need to be further subdivided, as no market delineation leads to the justification or strengthening of a dominant market position.  </w:t>
        <w:br/>
        <w:t>2. Electric Drives and Controls</w:t>
      </w:r>
    </w:p>
    <w:p>
      <w:r>
        <w:rPr>
          <w:b/>
        </w:rPr>
        <w:t>[Pages 13–15]</w:t>
      </w:r>
    </w:p>
    <w:p>
      <w:r>
        <w:t xml:space="preserve">This text is published for informational purposes only and does not constitute an official publication.  </w:t>
        <w:br/>
        <w:t xml:space="preserve">55. Electric drives and controls can, in the opinion of the parties, be assigned to the following markets based on their technological solutions: servo drives, frequency converters, and numerical controls (NC).  </w:t>
        <w:br/>
        <w:t xml:space="preserve">2.1. Servo Drives  </w:t>
        <w:br/>
        <w:t xml:space="preserve">56. A servo drive is a package consisting of a control device and a servo motor that solves controlled drive tasks through position or speed control using feedback.  </w:t>
        <w:br/>
        <w:t xml:space="preserve">57. Whether servo drives and other electric drives and controls form a common market or separate markets can remain open for the purposes of this decision, as no conceivable market definition is expected to lead to the establishment or strengthening of a dominant market position.  </w:t>
        <w:br/>
        <w:t xml:space="preserve">(2) Geographically Relevant Markets  </w:t>
        <w:br/>
        <w:t xml:space="preserve">58. The geographically relevant market for hydraulic components is to be defined EEA-wide, regardless of the relevant product market definition, according to the submitting parties. There are no tariff and non-tariff trade barriers for these components within the common market, low transport costs, significant cross-border trade, and internationally accepted norms and standards. The Commission has previously defined these markets as EU-wide. The investigations in this case have confirmed this. For the purposes of this decision, the Commission assumes an EEA-wide market.  </w:t>
        <w:br/>
        <w:t xml:space="preserve">(3) Competitive Assessment  </w:t>
        <w:br/>
        <w:t xml:space="preserve">1. Hydraulics  </w:t>
        <w:br/>
        <w:t xml:space="preserve">1.1. Industrial Hydraulics  </w:t>
        <w:br/>
        <w:t xml:space="preserve">1.1.1. Pumps  </w:t>
        <w:br/>
        <w:t xml:space="preserve">1.1.1.1. Piston Pumps  </w:t>
        <w:br/>
        <w:t xml:space="preserve">59. Rexroth is the leading manufacturer of axial piston pumps and sells [40 - 50]* % of all axial piston pumps in the EEA, while Bosch is the leading manufacturer of radial piston pumps and sells [40 - 50]* % of all radial piston pumps in the EEA. The parties do not manufacture the respective other pump type, with one exception.  </w:t>
        <w:br/>
        <w:t xml:space="preserve">60. In a total market for both types of piston pumps, the market shares are Bosch [5 - 15]* % and Rexroth [30 - 40]* %. The largest competitors are Parker with a market share of [5-15]* %, Denison with [5-15]* %, and Eaton with [5-15]* %. Other competitors include Wepuco [&lt;10]* %, Hawe [&lt;10]* %, and others [15-25]* %, with the EEA-wide market volume amounting to € [&lt; 200]* million according to the parties.  </w:t>
        <w:br/>
        <w:t xml:space="preserve">61. The merger project raises serious concerns regarding its compatibility with the common market due to the high combined market share in conjunction with the following reasons:  </w:t>
        <w:br/>
        <w:t xml:space="preserve">62. The merger of the two leading manufacturers results in a cumulative market share of nearly [40 - 50]* %. After the merger, the parties would be more than […]* times larger than each of the largest remaining competitors Parker, Denison, and Eaton. After a merger, the parties would be the only suppliers able to offer both radial and axial piston pumps and the other key components of industrial hydraulics. The Commission's investigations have shown that many customers expect a supplier to be able to offer all components for a machine. This is particularly the case because, with technically demanding machines, optimal interaction of the individual components must be ensured. Estimates from customers and competitors suggest that the entry of a new, competitive competitor would take at least 1-3 years.  </w:t>
        <w:br/>
        <w:t xml:space="preserve">63. The Commission therefore concludes that the merger would establish a dominant position in the market for piston pumps for Bosch.  </w:t>
        <w:br/>
        <w:t xml:space="preserve">1.1.1.2. Gear Pumps  </w:t>
        <w:br/>
        <w:t xml:space="preserve">64. In the market for gear pumps, there are no overlaps, as Bosch does not manufacture gear pumps.  </w:t>
        <w:br/>
        <w:t xml:space="preserve">1.1.1.3. Vane Pumps  </w:t>
        <w:br/>
        <w:t xml:space="preserve">65. In the market for vane pumps, the parties achieve a market share of [15 - 25]* % (Bosch […]* % and Rexroth […]* %). The largest competitors are Parker [5-15]* %, Eaton [30-40]* %, Denison [20-30]* %, and Berama [5-15]* %. Since both Eaton and Denison have higher market shares than the parties combined even after the merger, there are no competitive concerns in this market.  </w:t>
        <w:br/>
        <w:t xml:space="preserve">1.1.2. Hydraulic Valves and Electronics  </w:t>
        <w:br/>
        <w:t xml:space="preserve">66. In a total market for valves, the parties achieve a combined market share of [20 - 30]* % (Rexroth: […]* %; Bosch: […]* %). The main competitors are Parker [&lt;15]* %, Moog [&lt;10]* %, Eaton/Vickers [&lt;10]* %, Atos [&lt;10]* %, and Denison [&lt;10]* %. These competitors, like Bosch/Rexroth, are globally active companies and also operate in other areas of industrial hydraulics. Furthermore, the valve market is highly fragmented. While the 7 largest suppliers cover just over [45-55]* % of the market, nearly [45-55]* % of the market share is accounted for by many small suppliers.  </w:t>
        <w:br/>
        <w:t xml:space="preserve">67. With the exception of Atos, which does not produce servo valves, the mentioned companies offer the entire product range. It can be assumed that the competitors are capable of increasing their market shares should the parties attempt to enforce higher prices.  </w:t>
        <w:br/>
        <w:t xml:space="preserve">1.1.2.1. Hydromechanical Flow, Pressure, and Check Valves  </w:t>
        <w:br/>
        <w:t xml:space="preserve">68. In a market for hydromechanical flow, pressure, and check valves, the parties achieve a market share of [20 - 30]* % (Bosch […]* % and Rexroth […]* %). The competitors here are also Parker [0-20]* %, Denison [5-15]* %, Eaton [&lt;10]* %, and Atos [&lt;10]* %. Despite the lower market shares, these companies possess the competitive potential to sufficiently restrict the parties' scope of action (cf. para. 66f.).  </w:t>
        <w:br/>
        <w:t xml:space="preserve">1.1.2.2. Directional Valves and Cartridge Valves  </w:t>
        <w:br/>
        <w:t xml:space="preserve">69. In a market for directional valves and cartridge valves, the parties achieve a market share of [20 - 30]* % (Bosch […]* % and Rexroth […]* %). The competitors are Parker [5-15]* %, Eaton [5-15]* %, and Atos [&lt;10]* %. However, this lead does not yet establish a dominant position, as the scope of action of Bosch/Rexroth is effectively restricted by the competitors (cf. para. 66f.).  </w:t>
        <w:br/>
        <w:t xml:space="preserve">1.1.2.3. Continuous Valves (Proportional and Servo Valves)  </w:t>
        <w:br/>
        <w:t xml:space="preserve">70. In a market for continuous valves, there are no competitive concerns, regardless of alternative market definitions. The parties do not achieve a market share of over [15 - 25]* % in any of the alternatively examined markets. Even though the parties establish a market leadership through this, such a market share does not yet lead to a dominant position, as the scope of action is limited by the competitors (cf. para. 66f.).  </w:t>
        <w:br/>
        <w:t xml:space="preserve">1.1.2.3.1. Market for All Continuous Valves  </w:t>
        <w:br/>
        <w:t xml:space="preserve">71. In a market that includes regulated and unregulated proportional and servo valves, the parties achieve a market share of [15 - 25]* % after the merger (Bosch […]* % and Rexroth […]* %). The competitors are Moog [15-25]* %, Parker [&lt;10]* %, Atos [&lt;10]* %, and Eaton [&lt;10]* %. The emergence of market dominance is not expected given the sufficiently low market share and the market characteristics already mentioned above (cf. para. 66f.).  </w:t>
        <w:br/>
        <w:t xml:space="preserve">1.1.2.3.2. Market for Proportional Valves  </w:t>
        <w:br/>
        <w:t xml:space="preserve">72. In a market for unregulated and regulated proportional valves, the parties achieve a market share of [15 - 25]* % after the merger (Bosch […]* % and Rexroth […]* %). The competitors are Moog [12-20]* %, Parker [&lt;10]* %, Atos [&lt;10]* %, and Eaton [&lt;10]* %. The emergence of market dominance is not expected given the sufficiently low market share and the market characteristics already mentioned above (cf. para. 66f.).  </w:t>
        <w:br/>
        <w:t>1.1.2.3.3. Market for Regulated Proportional Valves</w:t>
      </w:r>
    </w:p>
    <w:p>
      <w:r>
        <w:rPr>
          <w:b/>
        </w:rPr>
        <w:t>[Pages 16–18]</w:t>
      </w:r>
    </w:p>
    <w:p>
      <w:r>
        <w:t xml:space="preserve">This text is published for informational purposes only and does not constitute an official publication.  </w:t>
        <w:br/>
        <w:t xml:space="preserve">73. In a market for regulated proportional valves, the parties achieve a market share of [15 - 25]* % after the merger (Bosch […]* % and Rexroth […]* %). The competitors are Moog [34-40]* %, Parker [&lt;10]* %, Atos [&lt;10]* %, and Eaton [&lt;10]* %. The emergence of market dominance is not expected given the sufficiently low market share and the market characteristics already mentioned above (cf. para. 66f.).  </w:t>
        <w:br/>
        <w:t xml:space="preserve">1.1.2.3.4. Market for unregulated proportional valves  </w:t>
        <w:br/>
        <w:t xml:space="preserve">74. In a market for unregulated proportional valves, the parties achieve a market share of [15 - 25]* % after the merger (Bosch […]* % and Rexroth […]* %). The competitors are Moog [5-15]* %, Parker [&lt;10]* %, Atos [&lt;10]* %, and Eaton [&lt;10]* %. The emergence of market dominance is not expected given the sufficiently low market share and the market characteristics already mentioned above (cf. para. 66f.).  </w:t>
        <w:br/>
        <w:t xml:space="preserve">1.1.2.3.5. Market for Servo Valves  </w:t>
        <w:br/>
        <w:t xml:space="preserve">75. In a market for servo valves, there are no overlaps, as Bosch does not manufacture servo valves.  </w:t>
        <w:br/>
        <w:t xml:space="preserve">1.2. Mobile Hydraulics  </w:t>
        <w:br/>
        <w:t xml:space="preserve">1.2.1. Mobile Valves  </w:t>
        <w:br/>
        <w:t xml:space="preserve">76. In a market for mobile valves, the parties report a market share of [10 - 20]* % (Bosch […]* % and Rexroth […]* %) with a market size of €1.090 million. According to competitors' estimates, the total market size may be only €750,000. Even assuming this lower market volume, the market share of the parties would only be about [15 - 25]* %. The emergence of a dominant market position is not expected given the sufficiently low market share.  </w:t>
        <w:br/>
        <w:t xml:space="preserve">2. Electric Drives and Controls  </w:t>
        <w:br/>
        <w:t xml:space="preserve">2.1. Servo Drives  </w:t>
        <w:br/>
        <w:t xml:space="preserve">77. In the narrowest and most unfavorable market for servo drives, the parties would achieve a market share of [10-20]* % (Bosch […]* % and Rexroth […]* %) after the merger. The market leader would be Siemens with a market share of 18.7%, and other competitors would be Fanuc and Baumüller, each with 5.6%.  </w:t>
        <w:br/>
        <w:t xml:space="preserve">Relationship between Bosch and Siemens  </w:t>
        <w:br/>
        <w:t xml:space="preserve">78. In a market for servo drives, Siemens would thus be the strongest competitor of Bosch and Rexroth. The Commission therefore had to examine whether the merger would create a joint dominant position for Bosch and Siemens. This could not be ruled out, particularly if Siemens' control over Atecs – the parent company of Rexroth – suggests a restriction of competition between Siemens and Rexroth/Bosch.  </w:t>
        <w:br/>
        <w:t xml:space="preserve">79. However, there are no aligned – coordination-motivating – interests between Bosch and Siemens. Siemens' ownership interest in Rexroth is limited by the lease and control agreements to the receipt of a fixed lease payment. Therefore, there are no joint economic interests of Bosch and Siemens in the operational business of Rexroth.  </w:t>
        <w:br/>
        <w:t xml:space="preserve">80. Against this background, there are also no corporate information rights mediated through Atecs that could lead to the exchange of competitively relevant information. Siemens' information rights regarding Rexroth only pertain to the lease payment that Rexroth receives from Bosch. However, this is independent of the operational business, so coordination of competitive behavior based on the exercise of information rights through Atecs is excluded.  </w:t>
        <w:br/>
        <w:t xml:space="preserve">81. To exclude informal information exchange, Bosch and Siemens have also committed to ensuring that no individuals are appointed to the supervisory board or management board of Rexroth who are employees of Siemens or of companies dependent on Siemens. Furthermore, Siemens and Bosch will ensure that no individuals are appointed to the boards and supervisory boards of Atecs, VDO, Dematic, Sachs, and Demag Krauss Maffei, as well as their dependent companies, who are simultaneously members of a management board or executive management of shareholder representatives in a supervisory board of Rexroth or its dependent companies or of Bosch or a subsidiary of Bosch to which the business of Rexroth is leased.  </w:t>
        <w:br/>
        <w:t xml:space="preserve">82. In addition to these structurally impactful agreements, the parties have also committed to the Commission not to exercise information rights at the level of Atecs regarding the management companies that may still exist and not to provide requested information.  </w:t>
        <w:br/>
        <w:t xml:space="preserve">83. The arrangements described in paras. 79 to 81 structurally establish the separation of the spheres of influence of Bosch/Rexroth and Siemens. Therefore, the emergence of a jointly dominant position of Siemens and Bosch/Rexroth as a result of the merger is not to be feared.  </w:t>
        <w:br/>
        <w:t xml:space="preserve">V. COMMITMENTS OFFERED BY THE NOTIFYING PARTIES  </w:t>
        <w:br/>
        <w:t xml:space="preserve">A. Commitments  </w:t>
        <w:br/>
        <w:t xml:space="preserve">84. To address the Commission's concerns regarding the intended merger, Bosch and Rexroth have made the following commitments to the Commission:  </w:t>
        <w:br/>
        <w:t xml:space="preserve">13 The wording of the commitments reproduced in the annex forms an integral part of this decision.  </w:t>
        <w:br/>
        <w:t xml:space="preserve">85. Bosch commits to divest its radial piston pump business. The divestiture includes the areas of development and manufacturing, the transfer of customer relationships with associated supply contracts to the acquirer, as well as other assets necessary for the continuation of the business and the transfer of employees.  </w:t>
        <w:br/>
        <w:t xml:space="preserve">86. Bosch commits to divesting the business to an acquirer that is an independent, viable, already existing company operating in European industrial hydraulics markets, which has the necessary financial resources and experience to compete actively in the industrial hydraulic piston pump market in Europe. Bosch commits to securing the transition of the business in this sense with a series of commitments. This includes, for a limited time, the agreement of a non-compete clause for Bosch regarding radial piston pumps as well as a non-solicitation clause for employees and the obligation to compensate for lost profits in the event of customer poaching. The acquirer requires the Commission's approval.  </w:t>
        <w:br/>
        <w:t xml:space="preserve">87. Bosch intends to finalize the divestiture of the radial piston pump business with an acquirer before the compatibility decision of the Commission, subject to the Commission's approval based on this decision. Bosch commits to recognizing the continuation of the prohibition on implementation of the merger until a binding agreement for the divestiture of the radial piston pump business is reached. In this context, Bosch also commits to appointing an independent and experienced trustee to monitor the preservation of the economic value and competitiveness of the radial piston pump business until the sale is completed. Bosch further commits to transferring the oversight of the implementation of the divestiture of the business to the aforementioned trustee if, at the time of the merger's implementation, the divestiture has not yet been completed.  </w:t>
        <w:br/>
        <w:t xml:space="preserve">88. This trustee has the right to determine the interpretation of the contractual provisions regarding the other assets to be transferred and the support services to be provided, insofar as the parties cannot agree among themselves. Bosch commits to providing the trustee with all support and information (Sections 6 – 8).  </w:t>
        <w:br/>
        <w:t xml:space="preserve">B. Assessment of the Commitments  </w:t>
        <w:br/>
        <w:t>89. The offered commitments ensure that the market share overlaps of Bosch and Rexroth in the market for piston pumps are completely eliminated: By divesting the radial piston pump business, Bosch is selling all its activities in the field of piston pumps, so that after the merger, Bosch will only produce and sell the axial piston pumps of Rexroth.</w:t>
      </w:r>
    </w:p>
    <w:p>
      <w:r>
        <w:rPr>
          <w:b/>
        </w:rPr>
        <w:t>[Pages 19–21]</w:t>
      </w:r>
    </w:p>
    <w:p>
      <w:r>
        <w:t xml:space="preserve">This text is published for informational purposes only and does not constitute an official publication.  </w:t>
        <w:br/>
        <w:t xml:space="preserve">90. The commitment submitted on October 20, 2000, ensures that the concerns raised by the Commission during the first phase of the merger control procedure regarding the possibilities of a successful continuation of the radial piston pump business by a future acquirer are adequately addressed. By committing to sell the business exclusively to an existing company already active in European hydraulic markets, which must also meet the criteria of sufficient financial strength and adequate specific market experience, it is ensured that the acquirer will possess the specific competitive parameters required in the hydraulic business.  </w:t>
        <w:br/>
        <w:t xml:space="preserve">91. The measures contained in Article 2 of the commitments for the transition of the business are important supplementary instruments that will further support the future acquirer in continuing Bosch's radial piston pump business. Accordingly, Bosch commits to compensate the acquirer for lost profits if, during the first three years, one or more of the ten largest customers replace Bosch radial piston pumps in existing series machines with Rexroth axial piston pumps. Together with Bosch's also given commitment of a - time-limited - non-compete clause for radial piston pumps, it is thus ensured that Bosch's existing customer base will not be immediately poached by the parties after the sale. A future acquirer thus has a start-up phase in which it can successfully establish itself in the market.  </w:t>
        <w:br/>
        <w:t xml:space="preserve">92. Furthermore, Bosch has committed to recognize the continuation of the prohibition on the execution of the merger under Article 7(1) of Regulation 4064/89 until the binding agreement for the sale is concluded. This commitment means that the parties can only execute the merger once the radial piston pump business has been sold to a buyer approved by the Commission. The Commission also considers this commitment necessary to dispel the concerns identified in the market investigation regarding the specific marketability of this business.  </w:t>
        <w:br/>
        <w:t xml:space="preserve">93. The continuation of the prohibition on execution until the binding sale is a proportional means to exclude the not insignificant risk that Bosch, if the merger were executed prior to the sale, would automatically acquire the combined market shares of the parties over time. This could not be sufficiently ruled out in the specific situation, as customers, if a long-term attractive alternative is not available due to the lack of a competitive acquirer for the radial piston pumps, would gradually switch to purchasing (Rexroth's) axial piston pumps from Bosch, to the detriment of the market share for radial piston pumps. Such market development is therefore not unlikely under the stated conditions, as there are traditionally strong customer ties in the market for piston pumps. The parties' commitment to continue the prohibition on execution, in conjunction with the other commitments, ensures the preservation of the previous market situation until it is established that the radial piston pump business is taken over by a competitive acquirer.  </w:t>
        <w:br/>
        <w:t xml:space="preserve">94. If a merger is approved but cannot be executed before fulfilling a divestiture commitment, a situation may arise in which it is advantageous for the merging companies to economically devalue the divestiture object to the point that it is practically unsaleable. Such a situation would not be entirely unlikely, among other things, if the merging companies could expect to offset the (calculated) market share and profit losses in such a scenario with corresponding gains from the other products of the companies in the same market.  </w:t>
        <w:br/>
        <w:t>95. With Bosch's commitment to have the management of the radial piston pump sector monitored by an independent trustee regarding the preservation of its competitiveness before the sale, this possibility is excluded from the outset. Furthermore, the Commission recognizes that a longer delay in executing the merger in this case would hardly be acceptable to the parties in order to create a special market situation in the piston pump market. The relatively significant importance of the other economic activities affected by the merger clearly indicates to the Commission that it is in Bosch's interest to carry out a Commission-approved sale as quickly as possible.</w:t>
      </w:r>
    </w:p>
    <w:p>
      <w:r>
        <w:t xml:space="preserve">This text is published for informational purposes only and does not constitute an official publication.  </w:t>
        <w:br/>
        <w:t xml:space="preserve">HAS ISSUED THE FOLLOWING DECISION  </w:t>
        <w:br/>
        <w:t xml:space="preserve">Article 1  </w:t>
        <w:br/>
        <w:t xml:space="preserve">The notified acquisition of sole control of Mannesmann Rexroth AG by Robert Bosch GmbH is declared compatible with the Common Market and the EEA Agreement on the condition that the commitments made by the notifying parties, as outlined in the annex to this decision, are fulfilled.  </w:t>
        <w:br/>
        <w:t xml:space="preserve">Article 2  </w:t>
        <w:br/>
        <w:t xml:space="preserve">This decision is addressed to:  </w:t>
        <w:br/>
        <w:t xml:space="preserve">Robert Bosch GmbH  </w:t>
        <w:br/>
        <w:t xml:space="preserve">Central Legal Department  </w:t>
        <w:br/>
        <w:t xml:space="preserve">Attn: Mr. Attorney Dr. Dieter Berg  </w:t>
        <w:br/>
        <w:t xml:space="preserve">Robert-Bosch-Platz 1  </w:t>
        <w:br/>
        <w:t xml:space="preserve">D-70839 Gerlingen-Schillerhöhe  </w:t>
        <w:br/>
        <w:t xml:space="preserve">Mannesmann Rexroth AG  </w:t>
        <w:br/>
        <w:t xml:space="preserve">Attn: Mr. Dr. Albert Hieronimus  </w:t>
        <w:br/>
        <w:t xml:space="preserve">Jahnstraße 3-5  </w:t>
        <w:br/>
        <w:t xml:space="preserve">D-97816 Lohr am Main  </w:t>
        <w:br/>
        <w:t>For the Commission</w:t>
      </w:r>
    </w:p>
    <w:p>
      <w:r>
        <w:rPr>
          <w:b/>
        </w:rPr>
        <w:t>[Pages 22–24]</w:t>
      </w:r>
    </w:p>
    <w:p>
      <w:r>
        <w:t xml:space="preserve">Divestiture Commitment  </w:t>
        <w:br/>
        <w:t xml:space="preserve">Pursuant to Article 8(2) of Council Regulation (EEC) No. 4064/89 (as amended; hereinafter "the Regulation"), Robert Bosch GmbH (hereinafter "Bosch") commits to the European Commission (hereinafter "the Commission") to fulfill the following divestiture commitment given in the context of the merger control procedure regarding the acquisition of sole control over Mannesmann Rexroth AG by Bosch (hereinafter "the merger"; Case COMP/M.2060) in order to address the competitive concerns of the Commission regarding the industrial hydraulic piston pump market.  </w:t>
        <w:br/>
        <w:t>This divestiture commitment is conditional upon the Commission declaring the merger compatible with the Common Market pursuant to Article 8(2) of the Regulation.</w:t>
      </w:r>
    </w:p>
    <w:p>
      <w:r>
        <w:t xml:space="preserve">1. Bosch commits to divest its business of radial piston pumps (hereinafter "the Business"). The Business includes, to a self-sustaining extent:  </w:t>
        <w:br/>
        <w:t xml:space="preserve">- Development (in particular development know-how, intellectual property rights, testing and testing facilities),  </w:t>
        <w:br/>
        <w:t xml:space="preserve">- Manufacturing (in particular machinery, equipment, and facilities at the Nuremberg site, inventories of raw materials, semi-finished and finished products, as well as order backlogs, supplier addresses, and existing purchasing contracts),  </w:t>
        <w:br/>
        <w:t xml:space="preserve">- Customer relationships with associated supply contracts,  </w:t>
        <w:br/>
        <w:t xml:space="preserve">- Employees who will transfer in accordance with § 613a BGB,  </w:t>
        <w:br/>
        <w:t>- Other assets, insofar as they are necessary for the acquirer to continue the transferred Business.</w:t>
      </w:r>
    </w:p>
    <w:p>
      <w:r>
        <w:t xml:space="preserve">2. The potential acquirer must be an independent, viable, already existing company active in European industrial hydraulic markets or a subsidiary thereof, which has the necessary financial resources and experience to be an active competitor in the industrial hydraulic piston pump market in Europe after acquiring the Business. Bosch will secure the transition of the Business particularly through the following time-limited measures:  </w:t>
        <w:br/>
        <w:t>- (Business secret)</w:t>
      </w:r>
    </w:p>
    <w:p>
      <w:r>
        <w:t>3. Bosch will operate the Business prior to the divestiture with the aim of maintaining the economic value and competitiveness of the Business until the time of divestiture. Bosch will act with the necessary care and in the interest of the Business. In particular, Bosch commits not to take any actions that could result in a significant change in the economic value or competitiveness of the Business prior to the divestiture. Sufficient financial resources will be made available to the Business to enable its further development within the existing business planning until the divestiture.</w:t>
      </w:r>
    </w:p>
    <w:p>
      <w:r>
        <w:t xml:space="preserve">4. The divestiture under point 1 requires the approval of the Commission. Bosch will request the Commission's approval by submitting at least a paraphied contract and information about the acquirer. The Commission will inform Bosch of its decision regarding the approval within two weeks after receipt of the request and the submission of complete information regarding the divestiture and the acquirer. In particular, the Commission may require the acquirer to submit a business plan as well as existing reports, analyses, and other documents for the attention of the acquirer's bodies. The complete information to be submitted by Bosch will include the necessary details:  </w:t>
        <w:br/>
        <w:t xml:space="preserve">a) for assessing compliance with the divestiture commitment under point 1  </w:t>
        <w:br/>
        <w:t xml:space="preserve">b) for assessing compliance with the buyer criteria under point 2  </w:t>
        <w:br/>
        <w:t xml:space="preserve">c) a timeline for the complete execution of the divestiture, and  </w:t>
        <w:br/>
        <w:t xml:space="preserve">d) for assessing whether the acquirer has the necessary antitrust and other approvals for the acquisition or whether and when this can reasonably be expected.  </w:t>
        <w:br/>
        <w:t>The Commission will only refuse approval if it has serious concerns that the merger will still meet the criteria of Article 2(3) of the Regulation with respect to an EEA market for industrial hydraulic piston pumps despite this divestiture. In this case, the Commission will provide Bosch with its concerns in writing and in detail within the deadline.</w:t>
      </w:r>
    </w:p>
    <w:p>
      <w:r>
        <w:t>5. Bosch intends to finalize the divestiture under point 1 in accordance with point 4 before the issuance of the compatibility decision under Article 8(2) of Regulation 4064/89 with an acquirer for whom the Commission has granted its prior approval. If this is not successful, Bosch commits to recognizing the continuation of the prohibition on implementation of the merger under Article 7(1) of Regulation 4064/89 until the binding agreement for the divestiture under point 1 is concluded in accordance with point 4. If the divestiture of the Business is not conclusively agreed upon by June 30, 2001, the Commission and Bosch will, upon justified request from Bosch, which must be submitted to the Commission no later than June 30, 2001, reach an understanding regarding a restructuring of the merger.</w:t>
      </w:r>
    </w:p>
    <w:p>
      <w:r>
        <w:t>6. If, at the time of the implementation of the merger, the divestiture of the Business has been conclusively agreed upon but not yet executed, Bosch will notify the Commission within two weeks after the date of the decision of the</w:t>
      </w:r>
    </w:p>
    <w:p>
      <w:r>
        <w:rPr>
          <w:b/>
        </w:rPr>
        <w:t>[Pages 25–26]</w:t>
      </w:r>
    </w:p>
    <w:p>
      <w:r>
        <w:t>Commission shall appoint an independent and experienced trustee (e.g., an investment bank, auditing or consulting firm) to fulfill the tasks described in Section 7 et seq. This appointment requires the approval of the Commission, which may only be refused for good cause. Bosch's proposal to the Commission will demonstrate and justify the independence and experience of the trustee. The proposal will include a description of the trustee and the relevant resumes of the senior staff who will be involved in overseeing the execution, as well as a draft mandate. Bosch will supplement the draft at the Commission's justified request. After the mandate is granted, Bosch shall not make any changes to the mandate without the prior approval of the Commission. At the request of the trustee, the Commission may require the amendment of the mandate if it becomes apparent that the mandate does not allow the trustee to fulfill its tasks according to Section 7. If Bosch does not carry out essential execution actions, the Commission may supplement the trustee's mandate to ensure that the execution takes place.</w:t>
      </w:r>
    </w:p>
    <w:p>
      <w:r>
        <w:t>7. The trustee is tasked with overseeing the execution of the divestiture of the business. The trustee is also responsible for monitoring Bosch's compliance with the obligation under Section 3 of the commitment. The trustee is required to submit a written report to the Commission every two months regarding the execution actions. A copy of the report shall also be sent to Bosch in a non-confidential version simultaneously. These reports shall be submitted within a period of ten working days. This ten-day period begins after the expiration of two months, the first time after two months from the appointment of the trustee, or at the times determined by the Commission. These reports summarize the developments of the last two months.</w:t>
      </w:r>
    </w:p>
    <w:p>
      <w:r>
        <w:t>8. The trustee has the right to determine the interpretation of the contractual provisions regarding the other assets to be transferred according to Section 1 and the support services to be provided according to Section 2 if the parties cannot agree on this matter. In exercising the right of determination, the trustee must first attempt to achieve an amicable reconciliation of interests between the contracting parties. If the attempt at reconciliation fails, the trustee may exercise its right of determination, whereby, in making the decision, it must primarily ensure that the business is transferred to the acquirer in accordance with the contract.</w:t>
      </w:r>
    </w:p>
    <w:p>
      <w:r>
        <w:t>9. Bosch shall provide the trustee with all support and information, including copies of all relevant documents, that the trustee may reasonably request to fulfill its tasks. At the request of the trustee, Bosch shall provide an office for the trustee at its own expense. Bosch shall meet regularly with the trustee to provide the trustee with all necessary information, either in writing or orally, to fulfill its tasks. Bosch and the trustee will agree on a schedule for this purpose.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