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https://ec.europa.eu/competition/mergers/cases/decisions/m2431_de.pdf</w:t>
      </w:r>
    </w:p>
    <w:p>
      <w:r>
        <w:t>Pages translated : 13</w:t>
      </w:r>
    </w:p>
    <w:p/>
    <w:p>
      <w:r>
        <w:rPr>
          <w:b/>
        </w:rPr>
        <w:t>[Pages 1–3]</w:t>
      </w:r>
    </w:p>
    <w:p>
      <w:r>
        <w:t>CASE No. COMP/M.2431 -</w:t>
        <w:br/>
        <w:t>ALLIANZ / DRESDNER</w:t>
        <w:br/>
        <w:t>Only the German text is available and binding.</w:t>
        <w:br/>
        <w:t>REGULATION (EEC) No. 4064/89</w:t>
        <w:br/>
        <w:t>ON MERGER PROCEDURES</w:t>
        <w:br/>
        <w:t>Article 6, Paragraph 2 NO OBJECTIONS</w:t>
        <w:br/>
        <w:t>Date: 19/07/2001</w:t>
        <w:br/>
        <w:t>Also available in the CELEX database</w:t>
        <w:br/>
        <w:t>Document number 301M2431</w:t>
        <w:br/>
        <w:t>Office for Official Publications of the European Communities</w:t>
        <w:br/>
        <w:t>L-2985 Luxembourg</w:t>
      </w:r>
    </w:p>
    <w:p>
      <w:r>
        <w:t>COMMISSION OF THE EUROPEAN COMMUNITIES</w:t>
        <w:br/>
        <w:t>Brussels, 19.07.2001</w:t>
        <w:br/>
        <w:t>SG (2001) D/289963</w:t>
        <w:br/>
        <w:t>In the published version of this decision PUBLIC VERSION</w:t>
        <w:br/>
        <w:t>certain information has been omitted pursuant to Art. 17 (2)</w:t>
        <w:br/>
        <w:t>of Council Regulation (EEC) No. 4064/89 concerning the</w:t>
        <w:br/>
        <w:t>non-disclosure of business secrets</w:t>
        <w:br/>
        <w:t>and other confidential information</w:t>
        <w:br/>
        <w:t>MERGER PROCEDURE</w:t>
        <w:br/>
        <w:t>The omissions are indicated by</w:t>
        <w:br/>
        <w:t>brackets […]. Where possible ARTICLE 6(1)(b) DECISION</w:t>
        <w:br/>
        <w:t>the omitted information has been replaced by a</w:t>
        <w:br/>
        <w:t>range of numbers or a general description.</w:t>
        <w:br/>
        <w:t>To the notifying party</w:t>
        <w:br/>
        <w:t>Subject: Case No. COMP/M.2431 - Allianz/Dresdner Bank</w:t>
        <w:br/>
        <w:t>Notification of 07.06.2001 pursuant to Article 4 of Council Regulation (EEC)</w:t>
        <w:br/>
        <w:t>No. 4064/89 (Merger Control Regulation)</w:t>
        <w:br/>
        <w:t>1. On 07.06.2001, the notification of a merger project pursuant to Article 4</w:t>
        <w:br/>
        <w:t>of Council Regulation (EEC) No. 4064/89 was received by the Commission.</w:t>
        <w:br/>
        <w:t>The following is intended: The German Allianz Aktiengesellschaft</w:t>
        <w:br/>
        <w:t>(“Allianz”) acquires, within the meaning of Article 3 Paragraph 1 Letter b of the Council Regulation,</w:t>
        <w:br/>
        <w:t>control over the German Dresdner Bank AG (“Dresdner”) through a</w:t>
        <w:br/>
        <w:t>public takeover offer dated 31.5.2001.</w:t>
        <w:br/>
        <w:t>2. Following the examination of the notification, the Commission has determined that the notified</w:t>
        <w:br/>
        <w:t>project falls within the scope of Council Regulation (EEC) No. 4064/89</w:t>
        <w:br/>
        <w:t>and does not give rise to serious concerns regarding its compatibility with the</w:t>
        <w:br/>
        <w:t>Common Market and the EEA Agreement.</w:t>
        <w:br/>
        <w:t>I. THE ACTIVITIES OF THE PARTIES</w:t>
        <w:br/>
        <w:t>3. Allianz is headquartered in Munich and operates worldwide in all market segments of the areas</w:t>
        <w:br/>
        <w:t>of life insurance, property insurance, and asset management through a number of</w:t>
        <w:br/>
        <w:t>insurance companies.</w:t>
        <w:br/>
        <w:t>1 OJ L 395 of 30.12.1989, p. 1, corrected version OJ L 257 of 21.9.1990, p. 13; last</w:t>
        <w:br/>
        <w:t>amended by Regulation (EEC) No. 1310/97 (OJ L 180 of 9.7.1997, p. 1, correction in OJ</w:t>
        <w:br/>
        <w:t>L 40 of 13.02.1998, p. 17.)</w:t>
        <w:br/>
        <w:t>Rue de la Loi 200, B-1049 Bruxelles/Wetstraat 200, B-1049 Brussel - Belgium</w:t>
        <w:br/>
        <w:t>Telephone: Switchboard 299.11.11</w:t>
        <w:br/>
        <w:t>Telex: COMEU B 21877. Telegram address: COMEUR Brussels.</w:t>
      </w:r>
    </w:p>
    <w:p>
      <w:r>
        <w:t>4. Dresdner is a universal bank based in Frankfurt am Main and operates worldwide in</w:t>
        <w:br/>
        <w:t>all areas of corporate and retail banking, investment banking,</w:t>
        <w:br/>
        <w:t>securities trading, and asset management. Dresdner is primarily active in</w:t>
        <w:br/>
        <w:t>Europe, particularly in Germany.</w:t>
        <w:br/>
        <w:t>II. THE PROJECT</w:t>
        <w:br/>
        <w:t>5. On May 31, 2001, Allianz, through its 100% subsidiary Allianz</w:t>
        <w:br/>
        <w:t>Bankbeteiligungs GmbH ("Allianz-Bankbeteiligung"), offered the shareholders of Dresdner</w:t>
        <w:br/>
        <w:t>the purchase of their Dresdner shares for cash in a public takeover offer ("Allianz Takeover Offer").</w:t>
        <w:br/>
        <w:t>6. In parallel to this Allianz Takeover Offer, DAD</w:t>
        <w:br/>
        <w:t>Transaktionsgesellschaft mbH ("DAD"), a so-called Special Purpose Vehicle, will</w:t>
        <w:br/>
        <w:t>offer Allianz shares to the Dresdner shareholders in another public offer ("Parallel Offer"). In return, the Dresdner shareholders are to partially assign their</w:t>
        <w:br/>
        <w:t>cash claim against Allianz-Bankbeteiligung from the Allianz Takeover Offer to DAD.</w:t>
        <w:br/>
        <w:t>7. The Allianz Takeover Offer and the Parallel Offer are linked, so that both offers can only be accepted jointly by the Dresdner shareholders. The reason for this is that Allianz, with the merger, not only aims to acquire Dresdner but also to reduce</w:t>
        <w:br/>
        <w:t>mutual holdings with Münchener Rück and to increase the publicly held Allianz shares (so-called free float) as corporate objectives.</w:t>
        <w:br/>
        <w:t>8. Through the merger, Allianz will obtain sole control over Dresdner within the meaning of</w:t>
        <w:br/>
        <w:t>Article 3(1)(b) of Council Regulation (EEC) No. 4064/89.</w:t>
        <w:br/>
        <w:t>III. COMMUNITY SIGNIFICANCE</w:t>
        <w:br/>
        <w:t>9. The companies Allianz and Dresdner together have a worldwide total turnover of more than EUR 5 billion (Allianz EUR 60,330 million and Dresdner EUR 23,469 million). Each of them has a community-wide total turnover of more than EUR 250 million (Allianz EUR [ ] million and Dresdner EUR [ ] million). Both companies do not achieve more than two-thirds of their respective community-wide total turnover in the same member state. The project therefore has community significance within the meaning of Article 1 Paragraph 2 of the Merger Control Regulation. It is not a cooperation case with the EFTA Surveillance Authority under the EEA Agreement.</w:t>
        <w:br/>
        <w:t>2 The turnover calculation was based on Article 5 (1) of the Merger Control Regulation</w:t>
        <w:br/>
        <w:t>and the Commission's notice on the calculation of turnover (OJ C 66 of</w:t>
        <w:br/>
        <w:t>2.3.1998, p. 25).</w:t>
      </w:r>
    </w:p>
    <w:p>
      <w:r>
        <w:rPr>
          <w:b/>
        </w:rPr>
        <w:t>[Pages 4–6]</w:t>
      </w:r>
    </w:p>
    <w:p>
      <w:r>
        <w:t>IV. COMPATIBILITY WITH THE COMMON MARKET</w:t>
      </w:r>
    </w:p>
    <w:p>
      <w:r>
        <w:t>A. Relevant Product Markets</w:t>
      </w:r>
    </w:p>
    <w:p>
      <w:r>
        <w:t>10. The intended merger affects various markets in the banking and insurance sectors. According to the Commission's established decision-making practice, services typically provided by universal banks can be divided into the areas of retail banking (with the segments of deposit business, lending business, payment transaction processing), corporate banking with non-banks (with the segments of deposit business, lending business, payment transaction processing), investment banking (with the segments of M&amp;A advisory, equity and bond issuance, stock exchange listings), as well as money market and securities transactions (with the segments of trading in stocks, bonds, and derivatives, as well as foreign exchange and currency transactions).</w:t>
      </w:r>
    </w:p>
    <w:p>
      <w:r>
        <w:t>11. In the insurance sector, the Commission's previous decision-making practice generally distinguishes between property, life, and reinsurance. Furthermore, as many different product markets can be assumed as there are insurances for different risks, since the characteristics, premiums, and uses of the individual insurances differ significantly and are difficult to substitute for each other from the perspective of the policyholders.</w:t>
      </w:r>
    </w:p>
    <w:p>
      <w:r>
        <w:t>12. Asset management essentially encompasses the investment and management of assets in the form of securities, the establishment and management of institutional or private funds, or the provision of financial and other services for institutions, international organizations, and private investors (see, among others, Case No. IV/M. 1067-Merrill Lynch/Mercury). According to the parties, asset management includes the segments of public fund issuance (equity funds issued by banks for private or institutional investors), issuance of special funds (dedicated funds issued by the bank for one or more institutional investors), as well as the actual management of assets for private investors on the one hand and for institutional investors on the other.</w:t>
      </w:r>
    </w:p>
    <w:p>
      <w:r>
        <w:t>13. Finally, the new group claims to offer numerous products in the emerging market for private retirement provision in Germany. According to the parties, this is to be achieved by consolidating product know-how from the banking and insurance sectors, specifically by combining the capital and life insurance products and fund products currently marketed by Allianz with the public funds and savings products offered by Dresdner. Although the specified products already exist as individual products, it is possible that the new pension system, which will come into force in Germany at the beginning of 2002, will find sales for alternative pension provision products and especially combinations of already existing products in a newly emerging market for retirement products. Thus, the emergence of a new market for retirement products in Germany cannot be ruled out.</w:t>
      </w:r>
    </w:p>
    <w:p>
      <w:r>
        <w:t>B. Geographically Relevant Markets</w:t>
      </w:r>
    </w:p>
    <w:p>
      <w:r>
        <w:t>14. According to the Commission's previous decision-making practice, national markets are still assumed in the banking sector. Exceptions include the area of money market and securities transactions and some markets in the field of investment banking, which must at least be delineated on a European-wide basis.</w:t>
      </w:r>
    </w:p>
    <w:p>
      <w:r>
        <w:t>15. In the case of individual insurance markets, national markets can still predominantly be assumed. The assumption of national markets applies particularly to insurance sold to private customers, while insurance for companies has increasingly been offered in a community-wide competition recently.</w:t>
      </w:r>
    </w:p>
    <w:p>
      <w:r>
        <w:t>16. In the individual market segments of asset management, national markets were still assumed until a few years ago. This was particularly due to the traditional binding of customers to national providers as well as the different other legal conditions. Due to the harmonization of legal frameworks in Europe and increased customer emancipation, a trend towards European or even global markets in the institutional sector is increasingly evident. An exception to this are special funds, which are currently primarily offered in Germany and Austria and provide institutional investors mainly with administrative and tax advantages (tax deferral effects through the possibility of creating hidden reserves).</w:t>
      </w:r>
    </w:p>
    <w:p>
      <w:r>
        <w:t>Conclusion on the Relevant Product and Geographical Markets</w:t>
      </w:r>
    </w:p>
    <w:p>
      <w:r>
        <w:t>17. The merger raises serious competitive concerns regarding life and various types of property insurance in Germany. The commitment made by the parties addresses these concerns. As for the other markets affected by the merger, where the activities of the parties overlap, product and geographical markets do not need to be definitively defined for the purposes of this decision, as no serious competitive concerns arise from any of the possible product and geographical market delineations.</w:t>
      </w:r>
    </w:p>
    <w:p>
      <w:r>
        <w:t>C. Assessment of Horizontal and Vertical Effects</w:t>
      </w:r>
    </w:p>
    <w:p>
      <w:r>
        <w:t>Horizontal Effects</w:t>
      </w:r>
    </w:p>
    <w:p>
      <w:r>
        <w:t>18. In the insurance sector, there are no overlaps between the activities of the parties, as Dresdner is not active in the insurance business in Germany.</w:t>
      </w:r>
    </w:p>
    <w:p>
      <w:r>
        <w:t>19. In the banking sector, there are only marginal overlaps in retail and corporate banking. Dresdner has approximately [5-10%] market share in retail and corporate banking, making it Germany's third-largest universal bank. Dresdner's share of the German banking business exceeds 15% only in the area of asset management for corporate and institutional clients [15-20%]. Allianz is active in retail and corporate banking through its investment company Allianz Vermögens-Bank AG, but has only market shares of [0-5%]. The effects of the merger are therefore marginal.</w:t>
      </w:r>
    </w:p>
    <w:p>
      <w:r>
        <w:t>20. In the area of asset management, Allianz is active through Allianz Kapitalanlagegesellschaft GmbH and Dresdner through the Deutsche Investment-Trust-Gruppe. This results in the following picture regarding the joint market shares of Dresdner and Allianz in Germany (market shares based on assets at the end of the year 2000):</w:t>
      </w:r>
    </w:p>
    <w:p>
      <w:r>
        <w:t>Areas</w:t>
        <w:br/>
        <w:t>Allianz Dresdner Allianz/Dresdner</w:t>
        <w:br/>
        <w:t>Issuance of investment funds overall [0-5%] [10-15%] [10-15%]</w:t>
        <w:br/>
        <w:t>of which public funds [0-5%] [10-15%] [10-15%]</w:t>
        <w:br/>
        <w:t>of which special funds [5-10%] [5-10%] [10-15%]</w:t>
        <w:br/>
        <w:t>(Share of special funds from [(5-10)] [(0-5%)] [(5-10%)]</w:t>
        <w:br/>
        <w:t>group companies in the total share of</w:t>
        <w:br/>
        <w:t>special funds)</w:t>
        <w:br/>
        <w:t>Asset management overall [0-5%] [0-5%] [0-5%]</w:t>
        <w:br/>
        <w:t>of which asset management for private investors [0-5%] [0-5%] [5-10%]</w:t>
        <w:br/>
        <w:t>of which asset management for institutional [0-5%] [0-5%] [0-5%]</w:t>
        <w:br/>
        <w:t>investors</w:t>
        <w:br/>
        <w:t>Source: Notification supplemented by information from competitors</w:t>
      </w:r>
    </w:p>
    <w:p>
      <w:r>
        <w:t>21. The parties achieve market shares of under 15% in both the overall market and in the possible sub-segments in Germany and are exposed to competition from a number of other significant competitors, such as Deutsche Bank, Commerzbank, or HVB.</w:t>
      </w:r>
    </w:p>
    <w:p>
      <w:r>
        <w:t>22. In the EEA or worldwide, Allianz/Dresdner's market shares in the area of asset management are well below 15%. Globally, Allianz/Dresdner is only the fifth-largest provider and faces competition from a number of international companies such as UBS, CS, or Fidelity Investments.</w:t>
      </w:r>
    </w:p>
    <w:p>
      <w:r>
        <w:t>23. In the area of private retirement products, the parties state that Allianz/Dresdner could achieve a joint market share of approximately [15-20%] of the funds to be invested by German pension funds by 2010. However, the market for private pension provision is a newly emerging market, into which a number of other significant competitors are entering, such as Deutsche Bank, the Commerzbank/Generali cooperation, and the savings bank group.</w:t>
      </w:r>
    </w:p>
    <w:p>
      <w:r>
        <w:rPr>
          <w:b/>
        </w:rPr>
        <w:t>[Pages 7–9]</w:t>
      </w:r>
    </w:p>
    <w:p>
      <w:r>
        <w:t>Conclusion Regarding Horizontal Overlaps</w:t>
      </w:r>
    </w:p>
    <w:p>
      <w:r>
        <w:t>24. The horizontal overlaps of the respective business activities of Allianz and Dresdner do not give rise to competitive concerns.</w:t>
      </w:r>
    </w:p>
    <w:p>
      <w:r>
        <w:t>Vertical and Conglomerate Aspects ("All-finance" Aspects)</w:t>
      </w:r>
    </w:p>
    <w:p>
      <w:r>
        <w:t>25. After the merger, the parties will operate in the market as an "all-finance group," which will result in three significant advantages.</w:t>
      </w:r>
    </w:p>
    <w:p>
      <w:r>
        <w:t>26. First, the parties will be able to utilize a variety of different distribution systems (bank branches, insurance agents, the internet, call centers). Through this "multi-channel" distribution, they can offer their customers all banking and insurance products from a single source (possibility of "cross-selling").</w:t>
      </w:r>
    </w:p>
    <w:p>
      <w:r>
        <w:t>27. Second, the merger will lead to a significant increase in the distribution power of the parties. Allianz/Dresdner will be able to utilize not only the approximately 12,000 Allianz insurance agents but also the 1,200 bank branches of Dresdner for the distribution of financial services products. The parties will thus have access to approximately 30% of private individuals, 37% of households, 50% of companies, and 100% of the 200 largest enterprises in Germany through already existing customer relationships.</w:t>
      </w:r>
    </w:p>
    <w:p>
      <w:r>
        <w:t>28. Third, Allianz/Dresdner will be able to offer new investment products in the market due to the "all-finance know-how" by combining traditional banking and insurance products. In particular, Allianz/Dresdner will be able to offer a variety of different retirement products that meet the criteria for the newly emerging area of tax-advantaged retirement provision in Germany, which will arise from the new legal framework for the German pension system ("Riester pension"), thanks to Dresdner's expertise as a fund manager and Allianz's strong position in the insurance market. This applies to both the area of private retirement provision and that of occupational pension provision; for the latter, due to the enormous financial potential and the excellent access to corporate clients of Allianz/Dresdner, even more so.</w:t>
      </w:r>
    </w:p>
    <w:p>
      <w:r>
        <w:t>29. It is not necessarily required to have a merger to achieve the aforementioned "all-finance" advantages. Some financial service providers prefer to conclude cooperation agreements for this purpose. However, the investigation showed that Allianz/Dresdner can achieve significant advantages regarding distribution power and expected synergies through the full integration of all business areas.</w:t>
      </w:r>
    </w:p>
    <w:p>
      <w:r>
        <w:t>Conclusion Regarding Vertical Overlaps</w:t>
      </w:r>
    </w:p>
    <w:p>
      <w:r>
        <w:t>30. The aforementioned vertical and conglomerate aspects do not raise competitive concerns when considered in isolation. Although Allianz will be able to strengthen its leading position in the insurance sector, particularly in life insurance, in Germany by exploiting the described advantages, the level of the currently existing combined market shares of Allianz and Dresdner in the relevant banking and insurance markets, even considering the "all-finance" aspects, does not lead to a dominant market position of the parties. In the area of property insurance, sales through bank branches play only a subordinate role. After the merger, a sufficient number of financially strong competitors will still be active in the respective markets. In the area of private pension products, serious doubts regarding the emergence of a dominant market position by Allianz/Dresdner are also not to be assumed, as it is a newly emerging dynamic market where a number of new competitors will be active. Despite the significant competitive advantages described above that Allianz can expect after the acquisition of Dresdner (see above Par. 28), there will still be at least one other competitor with a similar starting position in the area of all-finance and distribution structures (Munich Re).</w:t>
      </w:r>
    </w:p>
    <w:p>
      <w:r>
        <w:t>Cross-Shareholdings Between Allianz/Dresdner, Munich Re/Ergo, and HVB</w:t>
      </w:r>
    </w:p>
    <w:p>
      <w:r>
        <w:t>Status of the Shareholdings Before the Merger</w:t>
      </w:r>
    </w:p>
    <w:p>
      <w:r>
        <w:t>31. There are significant cross-shareholdings between Allianz and Dresdner and Munich Re/Ergo: Allianz holds 24.9%, Dresdner 7.4% in Munich Re. Munich Re itself holds [25-30%] of the shares in Allianz/Dresdner ([20-25%] in Allianz and [0-5%] in Dresdner). It should be noted, however, that the Munich Re share in Allianz/Dresdner will already decrease due to the acquisition itself and the legally binding agreements for forward sales already concluded in this context by [ ] to approximately [ ]7%, with no further conditions attached to this agreement. Since these forward sales represent a binding agreement, the Commission based its analysis of the merger on the reduced share of Munich Re in Allianz/Dresdner, which will not be associated with any control in the future (not even in conjunction with HVB8).</w:t>
      </w:r>
    </w:p>
    <w:p>
      <w:r>
        <w:t>Effects of the Merger</w:t>
      </w:r>
    </w:p>
    <w:p>
      <w:r>
        <w:t>32. The merger would ultimately lead to a joint shareholding of Allianz/Dresdner in Munich Re of [30-35%]. Based on the information provided by the parties, Allianz would have achieved the majority of the votes present in two of the last three general meetings of Munich Re with such a shareholding, noting that Allianz/Dresdner had missed the majority in the third meeting by only a few tenths of a percentage point. Additionally, there has been a trend in recent years towards reduced attendance of voting shareholders at the general meeting. Should this trend continue or stabilize, it can be assumed that Allianz will regularly obtain the majority of votes at the general meeting in the future. In light of these considerations, it can be assumed that after the merger, there is a very high probability of control of Munich Re by Allianz/Dresdner.</w:t>
      </w:r>
    </w:p>
    <w:p>
      <w:r>
        <w:t>33. This high probability is further reinforced by the existing ownership structures of Munich Re. It is noteworthy that the largest shareholders after Allianz/Dresdner, HVB (13.3%) and Deutsche Bank (9%), hold only slightly more than one-third and one-quarter of the voting rights in Munich Re, respectively, compared to Allianz/Dresdner. The remaining 45% of the shares are in free float, with none of the other shareholders holding more than 5% of Munich Re. The free float of Munich Re shares is thus significant and an indication that minority shareholders are more likely to align their voting behavior with the largest block (in this case, Allianz/Dresdner) rather than develop their own strategies.</w:t>
      </w:r>
    </w:p>
    <w:p>
      <w:r>
        <w:t>34. The interest of the minority shareholders of Munich Re in aligning their voting behavior with that of Allianz/Dresdner is further intensified by the fact that the current market value of the stake held by Munich Re in Allianz ([ ]) represents [35-40]% of the total market value of Munich Re, even more than one-third. This implies that any increase in the market value of Allianz has a direct value-enhancing effect on the market value of Munich Re, and thus minority shareholders have a strong interest in aligning their voting behavior with that of Allianz/Dresdner.</w:t>
      </w:r>
    </w:p>
    <w:p>
      <w:r>
        <w:t>35. Considering the above-mentioned considerations, it can therefore be assumed with high probability that Allianz/Dresdner would control Munich Re after the merger. Munich Re, in turn, will increase its stake in HVB from currently [0-5%] to [25-30%] in the course of implementing the merger with Allianz/Dresdner, thereby intensifying the collaboration significantly. Although this does not constitute a merger in the sense of the Merger Control Regulation, it can be assumed that the two companies will coordinate their market behavior to a large extent and thus will de facto present a unified strategy towards other competitors in the market.</w:t>
      </w:r>
    </w:p>
    <w:p>
      <w:r>
        <w:t>Consequences for the Life Insurance Market in Germany</w:t>
      </w:r>
    </w:p>
    <w:p>
      <w:r>
        <w:t>36. In the area of life insurance, Allianz/Dresdner, together with Munich Re, would have market shares of approximately [20-25%]. The next competitor, the group of...</w:t>
      </w:r>
    </w:p>
    <w:p>
      <w:r>
        <w:rPr>
          <w:b/>
        </w:rPr>
        <w:t>[Pages 10–12]</w:t>
      </w:r>
    </w:p>
    <w:p>
      <w:r>
        <w:t>public-law life insurers, results in a market share of [10-15%]. However, the latter are not a group comparable to Allianz or Münchener Rück, but rather various independent companies that each have relatively low market shares (below 5%).</w:t>
      </w:r>
    </w:p>
    <w:p>
      <w:r>
        <w:t>37. Furthermore, it should be noted that the acquisition of Dresdner by Allianz and the rapprochement of Münchener Rück and HVB will create the first two financial groups in Germany that operate a genuine "all-finance strategy," thereby going far beyond the existing distribution cooperations of other providers at the present time. The all-finance strategy entails a central coordination of production and distribution activities. Additionally, there are advantages in production, with Allianz gaining access to very extensive information about potential new customers (current Dresdner customers). Competitors have stated to the Commission that the level of information regarding corporate clients would improve significantly, allowing for detailed segmentation of customer groups and a centrally managed, coordinated, and targeted approach to customers.</w:t>
      </w:r>
    </w:p>
    <w:p>
      <w:r>
        <w:t>38. Moreover, Allianz/Dresdner and likely also Münchener Rück will benefit from the cumulative expertise offered in capital market, insurance, and deposit products. In addition to these significant advantages, there are the economies of scale of the two all-finance groups compared to other competitors, as well as synergy effects in the distribution network and administrative area. This primarily means lower costs and structural advantages.</w:t>
      </w:r>
    </w:p>
    <w:p>
      <w:r>
        <w:t>39. Furthermore, for life insurance, distribution through bank branches is of great importance. In this context, the extensive distribution networks of Dresdner (1,200 bank branches throughout Germany) and HVB (1,035 bank branches) play a significant role, as does the financial know-how that both banks contribute in the area of life insurance. None of the other competitors active in the German market have a similar starting position.</w:t>
      </w:r>
    </w:p>
    <w:p>
      <w:r>
        <w:t>40. It is therefore likely that Allianz/Dresdner, through the merger, and Münchener Rück through the rapprochement with HVB, will significantly increase their market shares in life insurance in the short to medium term, thereby widening the gap to the next largest competitors, the group of public-law insurers [(10-15%)]. Neither the public-law insurers nor the other competitors in life insurance operating in Germany have comparable distribution power or customer information. The substantial cost advantages and the benefits gained from a large-scale distribution network and access to important customer information suggest that Allianz/Dresdner and Münchener Rück/HVB will decisively expand their market share in a short time and will thus be able to behave independently in the market from other non-vertically integrated competitors.</w:t>
      </w:r>
    </w:p>
    <w:p>
      <w:r>
        <w:t>9</w:t>
      </w:r>
    </w:p>
    <w:p>
      <w:r>
        <w:t>Consequences in the area of property insurance in Germany</w:t>
      </w:r>
    </w:p>
    <w:p>
      <w:r>
        <w:t>41. In the area of property insurance (all sectors), Allianz/Dresdner and Münchener Rück/Ergo have joint market shares of approximately [20-25%], while the next competitors, the AXA Group and AMB Group (Generali), each achieve only about 5%, which is merely a quarter of this size. However, the Commission primarily examines the position of the involved companies and their competitors in the individual insurance sectors, as it is assumed that there are as many product markets as there are insurable risks (see also par. 11). In the area of health insurance and legal protection insurance, Allianz/Dresdner and Münchener Rück/Ergo achieve market shares of approximately [25-30%], while the next competitors AXA and AMB each have only [5-10%], which means about 1/6 of the market share of the two market leaders. In the important area of accident insurance, which alone accounts for about 10% of the total insurance business in Germany, Allianz/Dresdner and Münchener Rück/Ergo reach approximately [35-40%], while the next two competitors AXA and AMB have significantly lower market positions with [0-5%] each.</w:t>
      </w:r>
    </w:p>
    <w:p>
      <w:r>
        <w:t>Consequences for the area of asset management in Germany</w:t>
      </w:r>
    </w:p>
    <w:p>
      <w:r>
        <w:t>42. Allianz/Dresdner would have approximately [15-25%] market shares together with Münchener Rück and HVB. However, there are a number of other significant providers in the market with quite comparable market shares, foremost Deutsche Bank and Commerzbank. Therefore, the planned transaction does not raise serious doubts in the asset management market in Germany.</w:t>
      </w:r>
    </w:p>
    <w:p>
      <w:r>
        <w:t>Conclusion on the impact of the project on the described connections</w:t>
      </w:r>
    </w:p>
    <w:p>
      <w:r>
        <w:t>43. In light of the considerations outlined above, the merger in its original form raises competitive concerns regarding the ability of Allianz/Dresdner and Münchener Rück/Ergo to behave largely independently of their competitors in the market and thereby to achieve a dominant position, particularly in the area of life insurance as well as in some areas of property insurance.</w:t>
      </w:r>
    </w:p>
    <w:p>
      <w:r>
        <w:t>V. COMMITMENTS GIVEN BY THE PARTIES</w:t>
      </w:r>
    </w:p>
    <w:p>
      <w:r>
        <w:t>44. The parties and Münchener Rück had already stated in a joint letter of intent prior to the notification of the merger that they would reduce their cross-shareholdings to [approximately 20%] by December 31, 2003. However, this agreement is legally non-binding and includes a number of conditions or factors that may affect its actual implementation.</w:t>
      </w:r>
    </w:p>
    <w:p>
      <w:r>
        <w:t>45. The parties have therefore committed to the Commission on June 29, 2001, to reduce the voting rights held by Allianz and the Dresdner Bank Group in Münchener Rück to 20.5% by no later than [the end of 2003]. From the time of the Commission's approval decision in this case, Allianz/Dresdner will only exercise its voting rights to the extent of 20.5%.</w:t>
      </w:r>
    </w:p>
    <w:p>
      <w:r>
        <w:t>VI. ASSESSMENT OF THE COMMITMENTS</w:t>
      </w:r>
    </w:p>
    <w:p>
      <w:r>
        <w:t>46. The commitments made by the parties ensure that Allianz/Dresdner will not achieve a majority at the general meeting of Münchener Rück after the merger. The possibility that Allianz could control the other leading all-finance group in Germany and thus jointly with Münchener Rück achieve a dominant position in some markets of life and property insurance is thus completely eliminated. With regard to the deadline for implementing this commitment, it should be noted that Allianz/Dresdner will only exercise its voting rights in this limited extent even before the final reduction of its stake in Münchener Rück to 20.5%. Thus, control over the strategic competitive behavior of Münchener Rück by Allianz/Dresdner is already excluded for the period prior to the reduction of the stakes. The application of Article 81 EC to agreements or coordinated practices between Allianz/Dresdner and Münchener Rück/Ergo remains unaffected.</w:t>
      </w:r>
    </w:p>
    <w:p>
      <w:r>
        <w:t>VII. CONCLUSION</w:t>
      </w:r>
    </w:p>
    <w:p>
      <w:r>
        <w:t>47. For these reasons, the Commission has decided not to raise objections to the notified merger and to declare it compatible with the common market and the EEA Agreement on the condition that the commitment made by the parties, as set out in paragraph 45 of this decision, is fulfilled. This decision is based on Article 6 (2) of the Merger Control Regulation and Article 57 of the EEA Agreement.</w:t>
      </w:r>
    </w:p>
    <w:p>
      <w:r>
        <w:t>For the Commission</w:t>
      </w:r>
    </w:p>
    <w:p>
      <w:r>
        <w:t>(Signed)</w:t>
      </w:r>
    </w:p>
    <w:p>
      <w:r>
        <w:t>Mario MONTI</w:t>
      </w:r>
    </w:p>
    <w:p>
      <w:r>
        <w:t>Member of the Commission</w:t>
      </w:r>
    </w:p>
    <w:p>
      <w:r>
        <w:rPr>
          <w:b/>
        </w:rPr>
        <w:t>[Pages 13–13]</w:t>
      </w:r>
    </w:p>
    <w:p>
      <w:r>
        <w:t>Annex</w:t>
      </w:r>
    </w:p>
    <w:p>
      <w:r>
        <w:t>1. Allianz commits to reduce the voting permanent holdings in Münchener Rück AG ("Münchener Rück") held by the Allianz Group (including Dresdner Bank) to 20.5% by [ ]. This commitment does not affect the shareholding in Münchener Rück, which consists of non-voting trading stock acquired and held by the companies of the Allianz Group in the course of ordinary business. Furthermore, the exercise of voting rights on behalf of clients and from shares held for the account of third parties (e.g. pension funds and asset management) remains unaffected. Should it not be possible to fulfill the obligation according to sentence 1 by [ ] for reasons not attributable to Allianz, the Commission may extend the deadline according to sentence 1 upon request from Allianz, which must be justified in detail.</w:t>
      </w:r>
    </w:p>
    <w:p>
      <w:r>
        <w:t>2. Allianz further commits to limit its voting rights from shares in Münchener Rück to 20.5% of the total share capital of Münchener Rück starting from July 20, 2001, provided that the Commission makes a decision in the procedure Comp./M.2431 according to Art. 6 para. 1 letter b) of the Merger Control Regulation by July 20, 2001.</w:t>
      </w:r>
    </w:p>
    <w:p>
      <w:r>
        <w:t>3. Allianz further commits, within the framework of existing agreements with Münchener Rück, to ensure that Münchener Rück reduces its voting permanent holdings in Allianz to 20.5% by December 31, 2003. Sentence 2 and 3 of paragraph 1 and paragraph 2 apply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