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https://ec.europa.eu/competition/mergers/cases/decisions/m4055_20060405_20212_de.pdf</w:t>
      </w:r>
    </w:p>
    <w:p>
      <w:r>
        <w:t>Pages translated : 37</w:t>
      </w:r>
    </w:p>
    <w:p/>
    <w:p>
      <w:r>
        <w:rPr>
          <w:b/>
        </w:rPr>
        <w:t>[Pages 1–3]</w:t>
      </w:r>
    </w:p>
    <w:p>
      <w:r>
        <w:t xml:space="preserve">CASE No. COMP/M.4055 -  </w:t>
        <w:br/>
        <w:t xml:space="preserve">TALANX / GERLING  </w:t>
        <w:br/>
        <w:t xml:space="preserve">Only the German text is available and binding.  </w:t>
        <w:br/>
        <w:t xml:space="preserve">REGULATION (EC) No. 139/2004  </w:t>
        <w:br/>
        <w:t xml:space="preserve">ON MERGER PROCEDURES  </w:t>
        <w:br/>
        <w:t xml:space="preserve">Article 6, Paragraph 2 NO OBJECTIONS  </w:t>
        <w:br/>
        <w:t xml:space="preserve">Date: 05/04/2006  </w:t>
        <w:br/>
        <w:t xml:space="preserve">In electronic format on the EUR-Lex website under document number 32006M4055  </w:t>
        <w:br/>
        <w:t xml:space="preserve">Office for Official Publications of the European Communities  </w:t>
        <w:br/>
        <w:t>L-2985 Luxembourg</w:t>
      </w:r>
    </w:p>
    <w:p>
      <w:r>
        <w:t xml:space="preserve">COMMISSION OF THE EUROPEAN COMMUNITIES  </w:t>
        <w:br/>
        <w:t xml:space="preserve">Brussels, 05.04.2006  </w:t>
        <w:br/>
        <w:t xml:space="preserve">SG-Greffe(2006) D/201514  </w:t>
        <w:br/>
        <w:t xml:space="preserve">In the published version of this decision FOR PUBLICATION  </w:t>
        <w:br/>
        <w:t xml:space="preserve">certain information has been omitted in accordance with Art. 17 (2)  </w:t>
        <w:br/>
        <w:t xml:space="preserve">DETERMINED  </w:t>
        <w:br/>
        <w:t xml:space="preserve">of Council Regulation (EC) No. 319/2004 on the  </w:t>
        <w:br/>
        <w:t xml:space="preserve">non-publication of trade secrets  </w:t>
        <w:br/>
        <w:t xml:space="preserve">and other confidential information.  </w:t>
        <w:br/>
        <w:t xml:space="preserve">The omissions are marked by brackets […]. Where possible,  </w:t>
        <w:br/>
        <w:t xml:space="preserve">the omitted information has been replaced by a  </w:t>
        <w:br/>
        <w:t xml:space="preserve">RANGE/AREA indication of numbers or a  </w:t>
        <w:br/>
        <w:t xml:space="preserve">general description.  </w:t>
        <w:br/>
        <w:t xml:space="preserve">To the notifying party:  </w:t>
        <w:br/>
        <w:t xml:space="preserve">Dear Sirs!  </w:t>
        <w:br/>
        <w:t xml:space="preserve">Subject: Case No. COMP/M.4055 – Talanx/Gerling  </w:t>
        <w:br/>
        <w:t xml:space="preserve">Notification of 15.2.2006 pursuant to Article 4 of Regulation (EC)  </w:t>
        <w:br/>
        <w:t xml:space="preserve">No. 139/2004 of the Council (Merger Control Regulation)  </w:t>
        <w:br/>
        <w:t xml:space="preserve">1. On February 15, 2006, the notification of a merger project pursuant to  </w:t>
        <w:br/>
        <w:t xml:space="preserve">Article 4 of the Merger Control Regulation was received by the Commission. The following is intended: The company Talanx Aktiengesellschaft (“Talanx”,  </w:t>
        <w:br/>
        <w:t xml:space="preserve">Germany), which is controlled by HDI Haftpflichtverband der Deutschen Industrie V.a.G. (“HDI V.a.G.”, Germany), acquires control over all operational units of  </w:t>
        <w:br/>
        <w:t xml:space="preserve">the Gerling Insurance Group (“Gerling”, Germany) by purchasing share rights in accordance with Article 3 Paragraph 1 Letter b of the Council Regulation.  </w:t>
        <w:br/>
        <w:t xml:space="preserve">2. Following the examination of the notification, the Commission has determined that the  </w:t>
        <w:br/>
        <w:t xml:space="preserve">notified project falls within the scope of Regulation (EC) No. 139/2004 of the Council and, after the submission of commitments pursuant to Article 6 Paragraph 2 of the Merger Control Regulation regarding its compatibility with the Common Market and the EEA Agreement, does not give rise to serious concerns.  </w:t>
        <w:br/>
        <w:t>European Commission, B-1049 Brussels / European Commission, B-1049 Brussel - Belgium. Telephone: (32-2) 299 11 11.</w:t>
      </w:r>
    </w:p>
    <w:p>
      <w:r>
        <w:t xml:space="preserve">I. THE PARTIES  </w:t>
        <w:br/>
        <w:t xml:space="preserve">3. Talanx is a holding company that operates through a number of  </w:t>
        <w:br/>
        <w:t xml:space="preserve">insurance companies in all market segments of life insurance, property insurance1, and reinsurance. The operational business is conducted by subsidiaries such as neue leben Lebensversicherung AG, neue leben Unfallversicherung AG, ASPECTA Lebensversicherung AG, HDI Industrieversicherung AG, and Hannover Rückversicherung AG.  </w:t>
        <w:br/>
        <w:t xml:space="preserve">4. The entirety of the shares of Talanx is held by HDI V.a.G. HDI V.a.G. has only marginal own business activities, has a large number of members, and is not controlled by any company.  </w:t>
        <w:br/>
        <w:t xml:space="preserve">5. Gerling offers life insurance, property insurance, and reinsurance through its controlled investment companies.  </w:t>
        <w:br/>
        <w:t xml:space="preserve">6. The parent company of the Gerling Group is Gerling-Konzern Versicherungs-Beteiligungs-Aktiengesellschaft (GKB). The operational business of Gerling is summarized under Gerling-Beteiligungs-GmbH (GBG), a 100% subsidiary of GKB. GBG indirectly holds a 95% stake minus one share in Gerling-Konzern Lebensversicherungs-Aktiengesellschaft (GKL). The remaining shares of 5% plus one share are held by GKB. GKL is the company in which Gerling's life insurance business is consolidated. Furthermore, GBG holds approximately 65% in Gerling-Konzern Allgemeine Versicherungs-Aktiengesellschaft (GKA). About 30% of the shares of GKA are held by industrial investors. The free float amounts to just under 5%. GKA is the company under which Gerling's property insurance activities are conducted.  </w:t>
        <w:br/>
        <w:t xml:space="preserve">II. THE PROJECT  </w:t>
        <w:br/>
        <w:t xml:space="preserve">7. Talanx intends to acquire 100% of the shares in GBG from GKB as well as 5% plus one share of the shares in GKL. Talanx also intends to acquire the industrial investors' stake in GKA of approximately 30%. Upon completion of the merger, Talanx will have sole control over GBG directly and indirectly over GKL and GKA, and thus over the entire operational business of Gerling.  </w:t>
        <w:br/>
        <w:t xml:space="preserve">III. MERGER  </w:t>
        <w:br/>
        <w:t xml:space="preserve">8. The project thus constitutes a merger within the meaning of Article 3 Paragraph 1 Letter b of the EC Merger Control Regulation.  </w:t>
        <w:br/>
        <w:t xml:space="preserve">1 Property insurances are defined as all primary insurances that cannot be classified as life insurances.  </w:t>
        <w:br/>
        <w:t>2</w:t>
      </w:r>
    </w:p>
    <w:p>
      <w:r>
        <w:rPr>
          <w:b/>
        </w:rPr>
        <w:t>[Pages 4–6]</w:t>
      </w:r>
    </w:p>
    <w:p>
      <w:r>
        <w:t xml:space="preserve">IV. COMMUNITY-WIDE SIGNIFICANCE  </w:t>
        <w:br/>
        <w:t xml:space="preserve">9. The companies involved achieve a worldwide total turnover of more than 5 billion EUR2 (Talanx: 14.236 billion EUR, Gerling: 4.172 billion EUR). Talanx and Gerling each have a community-wide total turnover of more than 250 million EUR (Talanx: […] billion EUR, Gerling: […] billion EUR), but do not generate more than two-thirds of their community-wide total turnover in the same Member State. The notified merger therefore has community-wide significance.  </w:t>
        <w:br/>
        <w:t xml:space="preserve">V. COMPETITIVE ASSESSMENT  </w:t>
        <w:br/>
        <w:t xml:space="preserve">A. Relevant Product Markets  </w:t>
        <w:br/>
        <w:t xml:space="preserve">10. The planned merger affects various markets in the insurance sector. In the insurance sector, according to the previous decision-making practice of the Commission, a distinction is generally made between life, property, and reinsurance3. From the demand perspective, as many different product markets could be assumed in life and property insurance as there are insurances for different risks. Since the characteristics, premiums, and uses of individual insurances differ significantly, they are difficult to substitute for policyholders4. However, the Commission has also found that in property insurance, from the providers' perspective, the conditions for insuring various risks are similar and that most large insurance companies offer insurance for multiple risks. This could suggest that different types of property insurance belong to a single product market5. A similar situation could apply to life insurance6.  </w:t>
        <w:br/>
        <w:t xml:space="preserve">11. The Commission has further considered a subdivision of property insurance into insurance for private individuals and non-private individuals (business and industry)7. Additionally, the Commission has pointed out the possibility of separate markets for the insurance of aviation and space risks8.  </w:t>
        <w:br/>
        <w:t xml:space="preserve">2 The turnover calculation was based on Article 5 paragraph 1 of the Merger Control Regulation and the Commission's notice on the calculation of turnover (OJ C 66 of 2.3.1998, p. 25).  </w:t>
        <w:br/>
        <w:t xml:space="preserve">3 See Case M.3035 – Berkshire Hathaway/Converium/Gaum/JV; Case M.3446 – UNIQA/Mannheimer.  </w:t>
        <w:br/>
        <w:t xml:space="preserve">4 See Case M.2431 – Allianz/Dresdner.  </w:t>
        <w:br/>
        <w:t xml:space="preserve">5 See Case M.2676 – Sampo/Varma Sampo/IF Holding/JV; M.3035 - Berkshire Hathaway/Converium/Gaum/JV.  </w:t>
        <w:br/>
        <w:t xml:space="preserve">6 Case M.3446 – UNIQA/Mannheimer.  </w:t>
        <w:br/>
        <w:t xml:space="preserve">7 Case M.2676 – Sampo/Varma Sampo/IF Holding/JV.  </w:t>
        <w:br/>
        <w:t xml:space="preserve">8 M.3035 - Berkshire Hathaway/Converium/Gaum/JV.  </w:t>
        <w:br/>
        <w:t xml:space="preserve">3  </w:t>
        <w:br/>
        <w:t xml:space="preserve">12. The parties believe that there is a high degree of supply-side flexibility in property insurance, particularly for insuring risks in industrial insurance. The demanders of these insurance products are essentially identical, and industrial insurers could insure all risks arising in industrial insurance at any time based on their existing knowledge after market observation. A distinction between commercial and industrial policyholders is not considered meaningful. The parties therefore assume that all property insurance for non-private individuals as policyholders can be attributed to a single product market.  </w:t>
        <w:br/>
        <w:t xml:space="preserve">13. The market investigation has provided indications that property insurance for non-private individuals could generally be regarded as a single market, as industrial insurers can often cover both various property risks and liability risks. Exceptions are specialized insurances such as credit insurance or fidelity insurance. However, these do not need to be addressed in detail, as Talanx is not active in these segments.  </w:t>
        <w:br/>
        <w:t xml:space="preserve">14. Another exception could be liability insurance for pharmaceutical companies. The market investigation indicated that liability insurance for pharmaceutical companies has a number of peculiarities that distinguish it from liability insurances for other industrial sectors. Product liability for pharmaceuticals carries significant damage potential. It always involves personal injuries and there is a risk of mass damages. The wide range of potential claimants can lead to enormous defense costs. In particular, the claims development in the USA has made this clear9. Furthermore, there is a latent late damage potential and there are allocation problems related to the policy term in the case of long-term use of a medication that only manifests unforeseen harmful side effects at a very late stage. The risk assessment therefore also requires knowledge of the active ingredients of medications and medical expertise. It is also noted that due to the high damage potential, reinsurance capacities are more limited than in liability insurance for other industrial sectors. For the reasons mentioned, only a few insurers offer capacities in the area of pharmaceutical liability. Due to these peculiarities, it can be assumed that pharmaceutical liability insurance constitutes a separate product market.  </w:t>
        <w:br/>
        <w:t xml:space="preserve">15. Pharmaceutical companies are exposed to various liability risks. When they market prescription drugs in Germany, they are subject to strict liability for personal injuries under the Medicines Act (AMG) and are required to fulfill a coverage provision of up to a capital amount of 120 million EUR per pharmaceutical product (§ 94 AMG). The coverage provision is typically provided in practice through a liability insurance that exclusively covers the risks subject to the coverage provision. In this context, the Pharmaceutical Reinsurance Community (Pharma-Pool) was established. It is a co-reinsurance community of primary and reinsurers under the leadership of the Munich Reinsurance Company. Each member subscribes to a certain share and is liable (per pharmaceutical product) up to the amount of the quota share it has assumed. The primary insurer retains the first risk of 6 million EUR per pharmaceutical product. The Pharma-Pool offers reinsurance coverage of 114 million EUR after 6 million EUR per pharmaceutical product. The primary insurer is typically a member of the Pharma-Pool and then bears, in addition to its priority of 6 million EUR, its agreed share within the framework of the Pharma-Pool. The liability law peculiarities and the presence of the Pharma-Pool indicate that the insurance of the AMG liability risk constitutes a distinct product market within pharmaceutical liability insurance.  </w:t>
        <w:br/>
        <w:t xml:space="preserve">16. In addition, pharmaceutical companies are subject to liability outside Germany for which there is no insurance obligation. These liability risks "in the rest of the world"10 are often insured within a unified liability program. The liability program is usually divided into several "layers." After a self-insured retention (SIR), the basic coverage and excess coverage follow in subsequent layers. Each layer provides a specific insurance sum, which is only accessed once the insurance sum of the underlying layer is exhausted.  </w:t>
        <w:br/>
        <w:t xml:space="preserve">17. Within the lower layers, co-insurance communities typically provide the coverage capacities for German pharmaceutical companies. A co-insurance community is formed by a leading insurer and other co-insurers. The leading insurer and co-insurers each take a proportional share of the insurance sum within the layer, with the leading insurer often taking a larger share than the co-insurers. The leading insurer in pharmaceutical liability insurance plays a significant role in risk assessment and handles claims processing. Therefore, it requires sufficient insurance capacities, special knowledge for assessing the active ingredients of medications, and an administrative structure capable of managing complex claims cases. For the administrative and processing services, the leading insurer typically receives a special fee (management commission). Often, it is also given the opportunity to provide additional capacities if desired. The leading insurer is usually determined through a tender process. The tender may be limited to the leading insurer or may include co-insurers. Once the leading insurer has been found, the co-insurers typically adopt the contractual terms and (proportionally) the premium of the leading insurer.  </w:t>
        <w:br/>
        <w:t xml:space="preserve">18. The lower layers, characterized by the co-insurance structure, are more frequently affected by claims and are therefore also referred to as basic coverage ("Working Cover"). This basic coverage can, depending on the size of the pharmaceutical company, amount to an insurance sum of up to 350 million.  </w:t>
        <w:br/>
        <w:t>10 Hereinafter, these will be referred to as "pharmaceutical liability risks."</w:t>
      </w:r>
    </w:p>
    <w:p>
      <w:r>
        <w:rPr>
          <w:b/>
        </w:rPr>
        <w:t>[Pages 7–9]</w:t>
      </w:r>
    </w:p>
    <w:p>
      <w:r>
        <w:t xml:space="preserve">EUR. In the layers above the basic coverage, where the frequency of claims is lower, co-insurance companies are rarely found.  </w:t>
        <w:br/>
        <w:t xml:space="preserve">19. The market investigation has revealed that only a very limited number of companies operate as leading insurers in the lower layers of liability insurance for German pharmaceutical companies. The number of companies providing capacity as co-insurers is larger. The field of companies offering insurance capacity in the upper layers is significantly broader. This includes companies from the London market as well as from Bermuda.  </w:t>
        <w:br/>
        <w:t xml:space="preserve">20. From the above, it follows that the basic coverage imposes different requirements on the insurer than insurance in the upper layers. This is particularly true for the role of the leading insurer in the basic coverage. Companies that have so far limited themselves to insurance in the upper layers exert only limited competitive pressure on the leading insurers in the lower layers. This suggests that a distinct market for basic coverage should be delineated in the liability insurance of German pharmaceutical companies.  </w:t>
        <w:br/>
        <w:t xml:space="preserve">21. Aside from liability insurance for pharmaceutical companies, it is not necessary for the purposes of this decision to define the product markets of primary insurance conclusively, as no serious competitive concerns arise from any possible factual market delineation.  </w:t>
        <w:br/>
        <w:t xml:space="preserve">22. For reinsurance, the Commission has assumed in previous decisions that a distinction could be made between reinsurance in the property and life insurance sectors. Recent decisions, however, consider that reinsurance forms a unified product market, as reinsurers can offer reinsurance coverage for any type of risk without significant difficulties.  </w:t>
        <w:br/>
        <w:t xml:space="preserve">23. For the purposes of this decision, it is not necessary to define the product markets in reinsurance conclusively, as no serious competitive concerns arise from any possible factual market delineation.  </w:t>
        <w:br/>
        <w:t xml:space="preserve">B. Spatially Relevant Markets  </w:t>
        <w:br/>
        <w:t xml:space="preserve">24. The Commission has assumed in previous decisions that the primary insurance markets are predominantly national. However, it has been considered that the markets for industrial insurance could be broader than national. For the insurance of aviation and aerospace risks, the Commission has assumed a market that is at least EEA-wide.  </w:t>
        <w:br/>
        <w:t xml:space="preserve">25. The parties believe that for non-private liability insurance, the spatially relevant market is at least EEA-wide.  </w:t>
        <w:br/>
        <w:t xml:space="preserve">26. Aside from the insurance of aviation and aerospace risks and liability insurance for pharmaceutical risks, it is not necessary for the purposes of this decision to define the spatial markets conclusively, as even under the assumption of national markets, no serious competitive concerns arise.  </w:t>
        <w:br/>
        <w:t xml:space="preserve">27. The compulsory insurance for strict liability under the AMG applies only to pharmaceuticals placed on the market in Germany. Furthermore, the AMG stipulates that insurance coverage must be sought from an insurance company authorized to operate in Germany. The members of the Pharma-Pool are almost exclusively based (as headquarters or subsidiaries) in Germany. Therefore, the relevant geographical market is limited to Germany.  </w:t>
        <w:br/>
        <w:t xml:space="preserve">28. Regarding pharmaceutical liability risks for the "rest of the world," pharmaceutical companies in Germany can theoretically obtain insurance capacity regardless of the location of the insurance company. This possibility is indeed utilized for insurance capacities in the upper layers. In particular, companies from Bermuda as well as from the London market (e.g., Max Re, Starr Excess, XL Re, Great Lakes UK) frequently provide coverage capacity to German pharmaceutical companies in the upper layers. Thus, the geographical market in the upper layers is to be considered international.  </w:t>
        <w:br/>
        <w:t xml:space="preserve">29. However, the market investigation has shown that regarding the offering of insurance capacity in the area of basic coverage, the market conditions in Germany differ from those in other countries. On the one hand, the insurance programs of German pharmaceutical companies, characterized by predominant co-insurance in the lower layers, are structured differently than those of foreign pharmaceutical companies, which typically have a higher deductible and smaller layers dominated by sole insurance per layer. In such a structure, the need for coordination between the layers increases, while in co-insurance over wide coverage stretches, the leading insurer ensures coordination. Furthermore, the market investigation has revealed that the majority of German pharmaceutical companies prefer a leading insurer that has its headquarters or at least a subsidiary in Germany, as they see a number of advantages in this. The insurance contract is subject to German law and is drafted in German, which reduces interpretative uncertainty. The jurisdiction is in Germany, and in the event of a claim, a certain geographical proximity facilitates contact. Therefore, for liability insurance of pharmaceutical companies in the area of basic coverage, the relevant spatial market is limited to Germany.  </w:t>
        <w:br/>
        <w:t xml:space="preserve">30. According to the previous decision-making practice of the Commission, the reinsurance markets are to be regarded as global markets, as the nature of the activity requires a division of risks on an international basis.  </w:t>
        <w:br/>
        <w:t xml:space="preserve">C. Compatibility with the Common Market  </w:t>
        <w:br/>
        <w:t xml:space="preserve">Property Insurance  </w:t>
        <w:br/>
        <w:t xml:space="preserve">Market Shares  </w:t>
        <w:br/>
        <w:t xml:space="preserve">31. In the entire property insurance sector, the common market share of the parties, according to their statements, remains below 15% both under the assumption of national spatial markets and on a possible EEA-wide spatial market. The same applies, according to the parties, under the assumption of a product market that encompasses all property insurance for non-private individuals. Only with a further subdivision of property insurance for non-private individuals by the insured risks and under the assumption of national spatial markets do the parties achieve common market shares of over 15% in certain insurance branches in Germany and the Netherlands.  </w:t>
        <w:br/>
        <w:t xml:space="preserve">32. In Germany, the parties achieve the following market shares:  </w:t>
        <w:br/>
        <w:t xml:space="preserve">33. In liability insurance for non-private individuals, Talanx [5-15%] and Gerling [5-15%] will achieve a common market share of [10-20%]. They will thus become market leaders, followed by Allianz [10-15%], Axa [5-10%], and [5-10%].  </w:t>
        <w:br/>
        <w:t xml:space="preserve">34. In the compulsory insurance under the AMG, the parties estimate Talanx's market share at [20-30%] and Gerling's market share at [5-15%]. According to the parties, significant market shares are held by AXA [15-20%], Allianz [15-20%], and Zurich [10-15%].  </w:t>
        <w:br/>
        <w:t xml:space="preserve">35. In the area of pharmaceutical liability for the "rest of the world," Talanx and Gerling achieve an estimated common market share of approximately 50-60% (Talanx 20-30%, Gerling 20-30%) according to the Commission's investigations. Subsequent competitors follow at a considerable distance with market shares between 10 and 20% (AXA, Allianz). Notable market shares of 0 to 10% are achieved by AIG, Zurich, and Victoria – other market participants have only marginal market shares.  </w:t>
        <w:br/>
        <w:t xml:space="preserve">36. In the entire property insurance for industrial clients, Talanx (9%) and Gerling (8%) also become market leaders with a common market share of 17%, followed by Allianz (13%), Axa (8%), and Zurich (7%).  </w:t>
        <w:br/>
        <w:t>37. If property insurance is further subdivided by the insured risks, the parties achieve common market shares of over 15% in industrial property insurance.</w:t>
      </w:r>
    </w:p>
    <w:p>
      <w:r>
        <w:rPr>
          <w:b/>
        </w:rPr>
        <w:t>[Pages 10–12]</w:t>
      </w:r>
    </w:p>
    <w:p>
      <w:r>
        <w:t xml:space="preserve">5 - Berkshire Hathaway/Converium/Gaum/JV.  </w:t>
        <w:br/>
        <w:t xml:space="preserve">15 A distinction can be made between industrial and commercial property insurance. The parties have a market share of under 5% in commercial property insurance. Their market share in the overall property insurance for non-private individuals is approximately 10%.  </w:t>
        <w:br/>
        <w:t>8</w:t>
      </w:r>
    </w:p>
    <w:p>
      <w:r>
        <w:t xml:space="preserve">Fire insurance, in business interruption insurance, in all risks insurance, and in general unit insurance.  </w:t>
        <w:br/>
        <w:t xml:space="preserve">38. In industrial fire insurance, Talanx (11%) and Gerling (6%) will achieve a combined market share of 17%, followed by Zurich (11%), Axa (9%), and Allianz (8%). A similar picture emerges when industrial fire insurance is further subdivided into fire industry insurance (combined market share of the parties 17%) and fire business interruption insurance (combined market share of the parties 19%).  </w:t>
        <w:br/>
        <w:t xml:space="preserve">39. In general business interruption insurance, Talanx (10%) and Gerling (7%) will replace Allianz (12%) as the market leader with a combined market share of 17%, followed by Zurich (10%) and Axa (9%).  </w:t>
        <w:br/>
        <w:t xml:space="preserve">40. For all risks insurance, the statistics of the Gesamtverband der Deutschen Versicherungswirtschaft (GDV) show a combined market share of Talanx (25%) and Gerling (13%) of 38%. They are followed by FM Insurance Company (13%) and AIG Europe (9%). All risks insurance refers to property insurances, particularly fire insurances or business interruption insurances, where the insured risk is essentially not covered against individually listed perils, but – apart from expressly excluded circumstances – against all conceivable and thus also unknown perils.  </w:t>
        <w:br/>
        <w:t xml:space="preserve">41. The parties believe that all risks insurance does not represent a separate market even with the narrowest possible product market definition based on insured risks. All risks insurance can be replaced at any time by individual insurances. Furthermore, it is difficult to distinguish all risks insurance from extended coverage insurance, which insures additional perils beyond the conventional coverage of a fire insurance or fire business interruption insurance, which are specified precisely, unlike in all risks insurance. Both all risks and extended coverage insurance offer a multitude of design options. This also affects the reporting behavior of insurance companies to the GDV for the creation of statistics. Industrial insurers such as Allianz or Axa do not report premium income for all risks insurance to the GDV, even though they offer it, as they classify it under extended coverage insurance when reporting to the GDV. Therefore, the market shares of the parties would be overstated in the GDV statistics. A more realistic picture would emerge from a comprehensive consideration of the premium income of the areas of industrial fire, extended coverage, and all risks. According to this, Talanx (12%) and Gerling (8%) would have a combined market share of 20%, followed by Allianz (15%) and Zurich (8%).  </w:t>
        <w:br/>
        <w:t xml:space="preserve">42. The market investigation has confirmed that insurers not represented in the GDV statistics for all risks insurance still offer this insurance. Even if only all risks insurance were considered, the combined market share of the parties would therefore likely be significantly below 38%.  </w:t>
        <w:br/>
        <w:t xml:space="preserve">43. In general unit insurance, Gerling has a market share of 23%, while Talanx has significantly less than 1%.  </w:t>
        <w:br/>
        <w:t xml:space="preserve">44. In the insurance of aviation risks, the combined market share of the parties remains significantly below 10% both within the EEA and worldwide. In the area of space risk insurance, only Talanx is active with an EEA-wide market share of about [under 5%], while Gerling has not insured space risks since 2002.  </w:t>
        <w:br/>
        <w:t xml:space="preserve">45. In the Netherlands, the parties only have a combined market share of more than 15% in technical insurance. Talanx [15-20%] and Gerling [under 5%] together achieve [20-30%]. Important competitors are Delta Lloyd [20-30%], Allianz [10-20%], and Nationale Nederlanden [5-10%].  </w:t>
        <w:br/>
        <w:t xml:space="preserve">Non-coordinated effects  </w:t>
        <w:br/>
        <w:t xml:space="preserve">46. The combined market shares of the parties do not give rise to competitive concerns – except in the area of pharmaceutical liability – even with a narrow definition based on insured risks. This also applies to the segment of all risks insurance. On the one hand, the market investigation has confirmed that the distinction between a combination of individual insurances, all risks insurance, and extended coverage insurance is difficult. Depending on the design of the terms and conditions in individual cases, the coverage can, despite the legal differences, come very close in practice. For a large number of policyholders, these coverage options therefore represent serious alternatives, between which decisions are made depending on price and terms. However, even if all risks insurance were considered in isolation, there would be a sufficient number of significant competitors that would exert considerable competitive pressure on the parties even after the transaction.  </w:t>
        <w:br/>
        <w:t xml:space="preserve">21 General unit insurance was developed in the 1960s for the textile industry and covers both stationary and transport risks. No new business is being underwritten anymore, and the total gross premium volume is now below 10 million EUR.  </w:t>
        <w:br/>
        <w:t xml:space="preserve">22 This includes, among other things, construction, assembly, and machinery business interruption insurance.  </w:t>
        <w:br/>
        <w:t>10</w:t>
      </w:r>
    </w:p>
    <w:p>
      <w:r>
        <w:t xml:space="preserve">47. Insurance of the AMG liability risk can fundamentally be offered by any of the more than 30 primary insurers grouped in the Pharma Pool. The calculation of the insurance coverage is facilitated as the coverage is limited to 120 million EUR per pharmaceutical product, of which the Pharma Pool provides reinsurance coverage of 114 million EUR after 6 million EUR. In fact, a large number of insurers are active in the area of AMG liability risk insurance, with AXA, Allianz, and Zurich achieving significant market shares alongside the parties, and insurers such as Alte Leipziger, AIG, or XL exerting additional competitive pressure. Thus, the merger project does not cause a significant hindrance to effective competition in this market.  </w:t>
        <w:br/>
        <w:t xml:space="preserve">48. In the area of pharmaceutical liability for the "rest of the world," the merger project leads to a significantly superior market position for the merged company. The market shares of Talanx and Gerling add up to an estimated 50 to 60%. This estimate is based on the premium income of the competitors named by the parties in the pharmaceutical liability market in Germany. No data is available from some Bermuda companies, so the market share of the parties is likely overestimated in the overall market "pharmaceutical liability." However, the Bermuda companies regularly only provide "capacity," i.e., coverage amounts in very high layers, and thus also have comparatively lower premium income. For the area of basic coverage, the Bermuda companies are not relevant. Since no distinction by layers was made in the market share calculations and companies that are only active in high layers were also included, the market share of the merger participants for this area is likely underestimated.  </w:t>
        <w:br/>
        <w:t xml:space="preserve">49. A similar picture emerges when considering the provision of capacity, i.e., the amounts that insurers are willing to cover. The analysis of providers in the pharmaceutical liability market has shown that Talanx and Gerling have historically provided by far the largest capacities in the area of pharmaceutical liability (between 100 and 200 million euros). No other competitor reaches this magnitude. Eight competitors indicate that they want to provide capacity at all, but in most cases, this is only between 10 and 50 million euros. Only one provider comes close to the capacity of Talanx and Gerling, but without taking on the role of the leading insurer.  </w:t>
        <w:br/>
        <w:t xml:space="preserve">50. In the insurance of pharmaceutical liability risks of German companies in the area of basic coverage, Talanx and Gerling take on the role of the leading insurer in most cases. The parties have provided lists of their customers in the pharmaceutical liability business and named the capacities included in the insurance programs. For the co-insurances, the other companies and their participation levels were also mentioned. The customers listed by the merger parties together comprise an estimated [more than 50%] of the largest German pharmaceutical companies. [… (Description of the companies not represented in the lists.)]  </w:t>
        <w:br/>
        <w:t>11</w:t>
      </w:r>
    </w:p>
    <w:p>
      <w:r>
        <w:rPr>
          <w:b/>
        </w:rPr>
        <w:t>[Pages 13–15]</w:t>
      </w:r>
    </w:p>
    <w:p>
      <w:r>
        <w:t>51. Since both merging parties only list the programs in which they are involved, a "market share analysis" based on this is always distorted and inflates the "market share" of the reporting company. Nevertheless, some statements can be derived: According to both lists, the respective other merging party is the second-largest capacity provider in the mentioned insurance programs. Both lists show Gerling […] and Talanx […] as leading insurers, while other companies are mentioned as leaders only to a limited extent. Combined, Talanx and Gerling take the lead in [more than 70-80%] of the co-insurance layers according to both lists.</w:t>
      </w:r>
    </w:p>
    <w:p>
      <w:r>
        <w:t>52. This evaluation is consistent with the responses of market participants in the context of the market investigation. Four competitors of Talanx and Gerling (with estimated market shares of about [10-20%], [0-10%], [0-10%], and [significantly below 5%]) indicated in the market investigation that they also operate as leading insurers. However, none of these companies provide capacities of more than 50 million euros per company. This indicates that the leadership role by these competitors is unlikely, provided that customers require very high capacities to achieve the desired coverage amount, and is more likely to be relevant for smaller and medium-sized pharmaceutical companies. The investigations have shown that the company providing the highest capacity within the co-insurance typically assumes the leadership role. Therefore, if high capacities from Talanx and/or Gerling are required, leadership by other companies is generally not considered. Consequently, the four companies willing to assume a leadership role exert only limited competitive pressure on Talanx and Gerling due to their comparatively low capacities.</w:t>
      </w:r>
    </w:p>
    <w:p>
      <w:r>
        <w:t>53. This analysis shows that Gerling and Talanx are close competitors in the pharmaceutical liability market and exert significantly stronger competitive pressure on each other than is possible for other insurers. Only the merging parties are, as stated above, unconditionally eligible as leading insurers. The market investigation has shown that an increase in premiums as well as a reduction in the supply volume (capacities) is expected in the market due to the merger. It has also been shown that such a price increase could not easily be compensated by an increased presence of other competitors or by new entrants into the market.</w:t>
      </w:r>
    </w:p>
    <w:p>
      <w:r>
        <w:t>54. The market for pharmaceutical liability insurance for the "rest of the world" presents significant barriers to entry, particularly for insurers that are not established in the industrial insurance sector. While it can be assumed that some large insurers already active in the pharmaceutical liability sector, such as Allianz, Zurich, and AXA, could show stronger engagement and also take on leadership roles to a greater extent without problems, insurers that have not previously operated in this field cannot easily enter this market, as a high level of specialized know-how is required. To assess a risk in the pharmaceutical market, experts are necessary who not only have knowledge of the insurance business but also, in particular, of pharmacology. Additionally, due to the global liability risk, an international orientation of the insurer is required. It must be able to engage with different legal systems, respond to lawsuits in various countries, and regulate damages internationally.</w:t>
      </w:r>
    </w:p>
    <w:p>
      <w:r>
        <w:t>55. The market investigation has also revealed that even large insurers, who could easily enter the market or become more active, largely do not do so. In recent years, some insurers have partially or completely withdrawn from this business. This trend is mainly attributed to the fact that the pharmaceutical liability business presents particularly high damage potential. Although the business is not associated with a high frequency of claims, the damages incurred usually reach very high amounts. Particularly in the USA, class actions are not infrequently filed in such cases, which lead not only to high costs but also to negative publicity for the insurance. Some insurers have stated in the market investigation that for these reasons, due to their business strategy, they will not operate in this area.</w:t>
      </w:r>
    </w:p>
    <w:p>
      <w:r>
        <w:t>56. This results in Talanx and Gerling expecting only limited reactions from their competitors after a merger that would restrict their own pricing strategy. It must therefore be assumed that the merger would lead to a price strategy independent of competition and thus to price increases and capacity shortages without commitments.</w:t>
      </w:r>
    </w:p>
    <w:p>
      <w:r>
        <w:t>Coordinated Effects</w:t>
      </w:r>
    </w:p>
    <w:p>
      <w:r>
        <w:t>57. The market investigation found no indications that the merger project would increase the risk of coordinated effects in the industrial insurance markets. Currently, five large industrial insurers are active in the German market: Allianz, Gerling, HDI, AXA, and Zurich. In addition, a number of industrial insurers are represented in certain segments of industrial insurance with significant market shares. It is therefore not apparent that the elimination of Gerling as an independent industrial insurer would increase coordination incentives. In the specific market of pharmaceutical liability insurance, the market structure does not give reason to assume coordinated effects from the merger, as Talanx and Gerling together will form by far the strongest entity. The asymmetry to the subsequent competitors in this market argues against coordinated effects.</w:t>
      </w:r>
    </w:p>
    <w:p>
      <w:r>
        <w:t>Life Insurance</w:t>
      </w:r>
    </w:p>
    <w:p>
      <w:r>
        <w:t>58. The focus of the parties' activities in the life insurance sector is in Germany. The parties estimate their combined market share there to be [below 10%]. Even with a further subdivision of life insurance by products such as capital life insurance, term life insurance, unit-linked life insurance, pension insurance, group insurance, as well as pension funds and pension schemes, the combined market share of the parties in each segment would be below 15%.</w:t>
      </w:r>
    </w:p>
    <w:p>
      <w:r>
        <w:t>Reinsurance</w:t>
      </w:r>
    </w:p>
    <w:p>
      <w:r>
        <w:t>59. After the sale of Gerling Konzern Globale Rückversicherung-AG in 2003, Gerling has reinsurance activities of comparatively small scope. The parties estimate Talanx's share of the global insurance market to be about [0-10%]. This would only be slightly increased by the addition of Gerling's activities.</w:t>
      </w:r>
    </w:p>
    <w:p>
      <w:r>
        <w:t>E. Conclusion</w:t>
      </w:r>
    </w:p>
    <w:p>
      <w:r>
        <w:t>60. For the reasons stated above, there are serious concerns regarding the compatibility of the project with the Common Market in relation to pharmaceutical liability insurance.</w:t>
      </w:r>
    </w:p>
    <w:p>
      <w:r>
        <w:t>VI. COMMITMENTS</w:t>
      </w:r>
    </w:p>
    <w:p>
      <w:r>
        <w:t>61. In order to address the serious concerns regarding the planned merger, the parties offered commitments to the Commission on March 15, 2006, which were specified on April 3, 2006. The full text of these commitments is attached to this decision as an integral part.</w:t>
      </w:r>
    </w:p>
    <w:p>
      <w:r>
        <w:t>A. Summary of Commitments</w:t>
      </w:r>
    </w:p>
    <w:p>
      <w:r>
        <w:t>62. The main elements of the commitments proposed by the parties are as follows:</w:t>
      </w:r>
    </w:p>
    <w:p>
      <w:r>
        <w:t>63. Talanx commits to transfer substantial parts of Talanx's pharmaceutical liability business (i.e., HDI). The business to be sold includes:</w:t>
        <w:br/>
        <w:t>! The renewal rights of the pharmaceutical liability contracts (sole underwriting, leadership and participation shares, but excluding liability contracts within the meaning of § 94 AMG) of Talanx with pharmaceutical companies based in Germany.</w:t>
        <w:br/>
        <w:t>! At the buyer's request, renewal rights for liability contracts within the meaning of § 94 AMG will also be sold to the buyer for policyholders for whom the buyer also acquires renewal rights for the aforementioned pharmaceutical liability contracts.</w:t>
        <w:br/>
        <w:t>! At the buyer's request, Talanx will also sell and transfer the existing pharmaceutical liability contracts (including those within the meaning of § 94 AMG) from policyholders for whom the buyer also acquires the renewal rights.</w:t>
        <w:br/>
        <w:t>! A sufficient number of employees from the selling party's workforce in the areas of Sales (Underwriting), Risk Analysis (Risk Management), Claims Processing (Claims Management), with the selection of employees being made by the buyer.</w:t>
      </w:r>
    </w:p>
    <w:p>
      <w:r>
        <w:rPr>
          <w:b/>
        </w:rPr>
        <w:t>[Pages 16–18]</w:t>
      </w:r>
    </w:p>
    <w:p>
      <w:r>
        <w:t xml:space="preserve">B. Assessment of the Commitments  </w:t>
        <w:br/>
        <w:t xml:space="preserve">64. The transfer of renewal rights is a common way to transfer business areas of insurance companies. Renewal rights do not refer to "rights" in the strict sense. Insurance contracts do not contain provisions whereby the previous insurer could assert a claim for a new contract conclusion. Rather, Talanx, as the transferor of the renewal rights, commits to terminating the insurance contracts at the due date and not renewing them. At the same time, Talanx will inform policyholders, brokers, and agents and recommend the new conclusion of the contracts with the acquirer of the renewal rights. Additionally, Talanx will provide the acquirer with information that facilitates an assessment of the risks associated with the contracts. The transfer of qualified personnel is intended to enable the acquirer of the commitment package to independently engage in the risk assessment of pharmaceutical risks.  </w:t>
        <w:br/>
        <w:t xml:space="preserve">65. The market test has shown that the vast majority of competitors consider the offered commitments suitable to eliminate the competitive concerns arising from the merger. The majority of customers also generally consider the offered commitments to be sufficient. The divestiture of further related activities or business segments was deemed unnecessary by the majority of market participants.  </w:t>
        <w:br/>
        <w:t xml:space="preserve">66. The parties have offered to transfer existing contracts if desired. However, this was generally rejected in the market test, as it would involve assuming existing obligations without conducting their own risk assessment.  </w:t>
        <w:br/>
        <w:t xml:space="preserve">67. The parties have credibly demonstrated that suitable buyers can be found despite the aforementioned general reluctance of some insurers towards pharmaceutical liability risks. Expressions of interest from market participants in the commitment package have also already been made.  </w:t>
        <w:br/>
        <w:t xml:space="preserve">68. The Commission considers the commitments to be sufficient to eliminate the serious competitive concerns of the merger regarding compatibility with the common market. They enable the acquirer to gain privileged access to pharmaceutical customers and to better assess the risks of the respective customers. The pharmaceutical customers have an interest in obtaining coverage capacities from more than one insurance company. This gives the acquirer the opportunity to also operate as a leading insurer in the area of basic coverage and to compete with the pharmaceutical liability business remaining with the merged company (i.e., the pharmaceutical liability business of Gerling).  </w:t>
        <w:br/>
        <w:t>69. To ensure compliance with the commitments by the parties, the Commission links this decision with obligations and conditions. The commitments in Sections 1 to 4 represent conditions of this decision, as only their full compliance can achieve the necessary changes to eliminate the serious concerns of the Commission in the affected market. The remaining commitments represent obligations, as they pertain to the implementation measures required to fulfill the necessary steps.</w:t>
      </w:r>
    </w:p>
    <w:p>
      <w:r>
        <w:t xml:space="preserve">VII. CONCLUSION  </w:t>
        <w:br/>
        <w:t xml:space="preserve">70. For these reasons, the Commission has decided to declare the merger compatible with the Common Market and with the EEA Agreement. This decision is based on Art. 6 paragraph 1 letter b and paragraph 2 of the Merger Control Regulation.  </w:t>
        <w:br/>
        <w:t xml:space="preserve">For the Commission  </w:t>
        <w:br/>
        <w:t xml:space="preserve">(signed)  </w:t>
        <w:br/>
        <w:t xml:space="preserve">Charlie McCreevy  </w:t>
        <w:br/>
        <w:t>Member of the Commission</w:t>
      </w:r>
    </w:p>
    <w:p>
      <w:r>
        <w:t xml:space="preserve">Case No. COMP/M.4055 – Talanx/Gerling  </w:t>
        <w:br/>
        <w:t xml:space="preserve">COMMITMENTS TO THE EUROPEAN COMMISSION  </w:t>
        <w:br/>
        <w:t xml:space="preserve">Talanx Aktiengesellschaft ("Talanx") hereby offers the following commitments (the "Commitments") pursuant to Article 6 paragraph 2 of Council Regulation (EC) No. 139/2004 of January 20, 2004 on the control of concentrations between undertakings, including any amendments and supplements (the "Merger Regulation"), to enable the European Commission to declare the acquisition of sole control by Talanx over the operating companies of the Gerling Insurance Group ("Gerling") compatible with the Common Market pursuant to Article 6 paragraph 1 letter b of the Merger Regulation (the "Decision").  </w:t>
        <w:br/>
        <w:t xml:space="preserve">The following commitments will take effect upon the issuance of the Decision.  </w:t>
        <w:br/>
        <w:t>This text is to be interpreted in light of the Decision, insofar as the commitments become part of the Decision as conditions or obligations, the general European legal framework, the Merger Regulation, and taking into account the Commission's communication on permissible remedial measures under Council Regulation (EEC) No. 4064/89 and Commission Regulation (EC) No. 447/98.</w:t>
      </w:r>
    </w:p>
    <w:p>
      <w:r>
        <w:t xml:space="preserve">Section A. Definitions  </w:t>
        <w:br/>
        <w:t xml:space="preserve">For the purposes of the commitments, the following terms shall have the following meanings:  </w:t>
        <w:br/>
        <w:t xml:space="preserve">Workforce: all employees of the business to be divested at the time of the submission of this commitment, including key personnel as well as employees seconded or only partially employed in the business to be divested.  </w:t>
        <w:br/>
        <w:t>Due date: the earliest possible date on which the insurance contracts are due for renewal and on which Talanx commits to instruct HDI to terminate the insurance contracts.</w:t>
      </w:r>
    </w:p>
    <w:p>
      <w:r>
        <w:rPr>
          <w:b/>
        </w:rPr>
        <w:t>[Pages 19–21]</w:t>
      </w:r>
    </w:p>
    <w:p>
      <w:r>
        <w:t>documents, instruments, or other steps to undertake;</w:t>
      </w:r>
    </w:p>
    <w:p>
      <w:r>
        <w:t>e) to ensure, while observing the statutory and contractual employment requirements, that a sufficient number of a maximum of [■■■] employees from the workforce, particularly from the areas of Sales (Underwriting), Risk Analysis (Risk Management), and Claims Processing (Claims Management), including key personnel, are transferred to the buyer, with the selection of key personnel being made by the buyer;</w:t>
      </w:r>
    </w:p>
    <w:p>
      <w:r>
        <w:t>f) at the buyer's request, to provide services in the areas of Sales (Underwriting), Risk Analysis (Risk Management), and Claims Processing (Claims Management) for the buyer and/or facilitate appropriate contacts with external service providers and experts.</w:t>
      </w:r>
    </w:p>
    <w:p>
      <w:r>
        <w:t>3. The commitment is considered as er</w:t>
      </w:r>
    </w:p>
    <w:p>
      <w:r>
        <w:t xml:space="preserve">HDI: HDI Industrie Versicherung AG, a stock corporation under German law with its registered office in Hanover, registered in the commercial register of the District Court of Hanover under HRB 60320.  </w:t>
        <w:br/>
        <w:t xml:space="preserve">Hold Separate Manager: a person appointed by Talanx for the business to be divested, who is responsible for managing ongoing operations under the supervision of the Monitoring Trustee.  </w:t>
        <w:br/>
        <w:t xml:space="preserve">Buyer: the natural or legal person(s) approved by the Commission as the acquirer(s) of the business to be divested according to the criteria set out in Section D.  </w:t>
        <w:br/>
        <w:t xml:space="preserve">Key Personnel: those members of the workforce, particularly from Sales (Underwriting), Risk Analysis (Risk Management), and Claims Processing (Claims Management), who are employed in the area of pharmaceutical liability at HDI, as listed in the annex.  </w:t>
        <w:br/>
        <w:t xml:space="preserve">Last Due Date: the latest due date specified in an insurance contract on the reference date.  </w:t>
        <w:br/>
        <w:t xml:space="preserve">Reference Date: the day on which the decision is made by the Commission.  </w:t>
        <w:br/>
        <w:t xml:space="preserve">Talanx: Talanx Aktiengesellschaft, a stock corporation under German law with its registered office in Hanover, registered in the commercial register of the District Court of Hanover under HRB 52546.  </w:t>
        <w:br/>
        <w:t xml:space="preserve">Trustee: the Monitoring Trustee and the Divestiture Trustee.  </w:t>
        <w:br/>
        <w:t xml:space="preserve">Transfer Reference Date: the day on which a contract concluded between HDI and the buyer regarding the divestiture of renewal rights becomes effective, the renewal rights are transferred to the buyer, and – as agreed with the buyer – the buyer enters into the employment or other contractual relationships of the workforce, as well as, in the event that existing pharmaceutical liability insurance contracts are also transferred at the buyer's request, these have been assumed by the buyer.  </w:t>
        <w:br/>
        <w:t>Monitoring Trustee: one or more independent natural or legal person(s) appointed by Talanx with the approval of the Commission, who has the obligation to monitor compliance with the commitments.</w:t>
      </w:r>
    </w:p>
    <w:p>
      <w:r>
        <w:t xml:space="preserve">Divestiture Period: a period of [■■■] months after the reference date or, if the approval [■■■] is not yet available on the reference date, after the day on which this approval is granted.  </w:t>
        <w:br/>
        <w:t xml:space="preserve">Divestiture Trustee: one or more independent natural or legal person(s) appointed by Talanx with the approval of the Commission, who is (are) exclusively entrusted by Talanx to transfer the business to be divested without being bound by a minimum price [■■■] to a buyer.  </w:t>
        <w:br/>
        <w:t xml:space="preserve">Affiliated Companies: companies controlled by Talanx (from the execution of the merger including Gerling), whereby the term control is to be understood in accordance with Art. 3 of the Merger Regulation and in light of the Commission's communication on the concept of merger under Regulation (EEC) No. 4064/89.  </w:t>
        <w:br/>
        <w:t xml:space="preserve">Extended Divestiture Period: a period of [■■■] months after the end of the divestiture period.  </w:t>
        <w:br/>
        <w:t xml:space="preserve">Policyholder: the policyholders who have concluded insurance contracts attributable to the business to be divested.  </w:t>
        <w:br/>
        <w:t xml:space="preserve">Insurance Contracts: the pharmaceutical liability insurance contracts attributable to the business to be divested.  </w:t>
        <w:br/>
        <w:t>Business to be Divested: the business referred to in Section B and in the annex, which Talanx is committed to divesting.</w:t>
      </w:r>
    </w:p>
    <w:p>
      <w:r>
        <w:t xml:space="preserve">Section B. The Business to be Divested  </w:t>
        <w:br/>
        <w:t xml:space="preserve">Divestiture Commitment  </w:t>
        <w:br/>
        <w:t xml:space="preserve">1. To maintain effective competition, Talanx shall ensure that the business to be divested is sold to a buyer by the end of the Extended Divestiture Period under divestiture conditions approved by the Commission in accordance with the procedure described in paragraph 15. The divestiture shall occur through the transfer of renewal rights, secured by the obligations specified in paragraph 2, and by key personnel particularly from the areas of Sales (Underwriting), Risk Analysis (Risk Management), and Claims Processing (Claims Management), who are selected and appointed by the buyer. Talanx commits to finding a buyer to carry out the divestiture and to conclude a contract for the divestiture of renewal rights with this buyer within the divestiture period. Should Talanx not have concluded such a contract for the divestiture of renewal rights by the end of the divestiture period, Talanx shall grant the Divestiture Trustee an exclusive mandate to divest the renewal rights concerning the business to be divested in the Extended Divestiture Period in accordance with the procedure described in paragraph 24.  </w:t>
        <w:br/>
        <w:t xml:space="preserve">2. Talanx commits to instructing HDI regarding the business to be divested to:  </w:t>
        <w:br/>
        <w:t xml:space="preserve">a) properly terminate the insurance contracts, to the extent that they would otherwise be renewed, at the due date and not to renew them, not to submit an offer for a new conclusion or extension of the insurance contracts, and/or not to respond to corresponding offers from the policyholders and not to renegotiate the insurance contracts in any other way;  </w:t>
        <w:br/>
        <w:t xml:space="preserve">b) inform the policyholders (including any affiliated brokers and primary and reinsurance companies associated with the policyholders, so-called captives) as well as all insurance brokers who have previously been involved in the mediation of the business to be divested in writing that HDI will terminate the insurance contracts at the due date and will not renew them, and to recommend the conclusion of pharmaceutical liability insurance contracts with the buyer;  </w:t>
        <w:br/>
        <w:t xml:space="preserve">c) provide the buyer with access to all information necessary to transfer the business to be divested as an ongoing business, in particular to allow the buyer to copy documents with corresponding information to the necessary extent or to store electronic copies of corresponding data; to the extent that corresponding information (see in detail letter c) of the annex) is available in electronic form, HDI will also provide the relevant data to the acquirer in electronic form; HDI will commit to using the retained documents, records, and other information only for the purpose of claims processing for pharmaceutical liability insurance contracts for which only renewal rights, but not the contract itself, have been transferred; HDI will also commit not to transmit such documents, records, and other information to Gerling;  </w:t>
        <w:br/>
        <w:t>d) to the extent that additional documents, instruments, or other steps are necessary or useful to effect or evidence the transfer of the renewal rights to the buyer, at the reasonable request of the buyer, to undertake all such steps.</w:t>
      </w:r>
    </w:p>
    <w:p>
      <w:r>
        <w:rPr>
          <w:b/>
        </w:rPr>
        <w:t>[Pages 22–24]</w:t>
      </w:r>
    </w:p>
    <w:p>
      <w:r>
        <w:t xml:space="preserve">to sign documents and instruments and take all such steps;  </w:t>
        <w:br/>
        <w:t xml:space="preserve">e) subject to compliance with statutory and employment contract requirements, transfer a sufficient number of a maximum of [■■■] employees from the workforce, particularly from the areas of Sales (Underwriting), Risk Analysis (Risk Management), and Claims Processing (Claims Management), including key personnel, to the buyer, with the selection of key personnel being made by the buyer;  </w:t>
        <w:br/>
        <w:t xml:space="preserve">f) upon the buyer's request, provide services in the areas of Sales (Underwriting), Risk Analysis (Risk Management), and Claims Processing (Claims Management) for the buyer and/or facilitate appropriate contacts with external service providers and experts.  </w:t>
        <w:br/>
        <w:t xml:space="preserve">3. The commitment is considered fulfilled if Talanx concludes a contract for the transfer of renewal rights under conditions approved by the Commission in accordance with the procedure described in Section 15 by the end of the Extended Disposal Period, provided that the transfer date is no later than [■■■] months after the day on which the Commission granted its approval regarding the identity of the buyer and the terms of the disposal.  </w:t>
        <w:br/>
        <w:t xml:space="preserve">Structure and Description of the Business to be Transferred  </w:t>
        <w:br/>
        <w:t xml:space="preserve">4. The business to be transferred, which is described in detail in the annex, consists of:  </w:t>
        <w:br/>
        <w:t xml:space="preserve">a) the renewal rights of the pharmaceutical liability contracts (sole underwriting, lead and participation shares, except for liability contracts within the meaning of § 94 AMG) of HDI with pharmaceutical companies based in Germany;  </w:t>
        <w:br/>
        <w:t xml:space="preserve">at the buyer's request, renewal rights for liability contracts within the meaning of § 94 AMG will also be transferred to the buyer from policyholders for whom the buyer also acquires renewal rights for the remaining pharmaceutical liability contracts;  </w:t>
        <w:br/>
        <w:t xml:space="preserve">at the buyer's request, HDI will also sell and transfer to the buyer the existing pharmaceutical liability insurance contracts (including those within the meaning of § 94 AMG) from policyholders for whom the buyer also acquires the renewal rights; the details of this commitment will require an additional agreement in this case;  </w:t>
        <w:br/>
        <w:t xml:space="preserve">b) key personnel from HDI in sufficient numbers, particularly from the following areas:  </w:t>
        <w:br/>
        <w:t xml:space="preserve">- Sales (Underwriting),  </w:t>
        <w:br/>
        <w:t xml:space="preserve">- Risk Analysis (Risk Management),  </w:t>
        <w:br/>
        <w:t xml:space="preserve">- Claims Processing (Claims Management),  </w:t>
        <w:br/>
        <w:t xml:space="preserve">where the number of key personnel and their designation depend on the needs and wishes of the buyer, and the selection is made by the buyer.  </w:t>
        <w:br/>
        <w:t xml:space="preserve">Section C. Further Commitments Related to the Disposal  </w:t>
        <w:br/>
        <w:t xml:space="preserve">Maintaining Viability, Marketability, and Competitiveness  </w:t>
        <w:br/>
        <w:t xml:space="preserve">5. Talanx commits to maintaining the viability, marketability, and competitiveness of the business to be transferred between the cut-off date and the final due date according to the principles of a prudent businessman and to minimize, as far as possible, the risks of a loss of competitive potential on the part of the business to be transferred. In particular, Talanx commits to:  </w:t>
        <w:br/>
        <w:t xml:space="preserve">a) not undertaking anything on its own that could significantly negatively affect the value, management, or competitiveness of the business to be transferred or change the nature and scope of the business activities, the technical or commercial strategy, or the investment policy of the business to be transferred;  </w:t>
        <w:br/>
        <w:t xml:space="preserve">b) providing sufficient resources for the operation of the remaining business to be transferred based on the current business plan until the final due date;  </w:t>
        <w:br/>
        <w:t xml:space="preserve">c) taking all reasonably foreseeable measures (including industry-standard incentive programs) to encourage all currently employed key personnel of the business to be transferred to remain with this business; and  </w:t>
        <w:br/>
        <w:t xml:space="preserve">d) not undertaking anything that could impair the buyer's prospects of renewing the insurance contracts in any way.  </w:t>
        <w:br/>
        <w:t xml:space="preserve">Obligation of the Parties to Maintain Separate Operations  </w:t>
        <w:br/>
        <w:t xml:space="preserve">6. Talanx will ensure that HDI maintains the business to be transferred economically and legally separate during the period between the cut-off date and the transfer date. This includes ensuring that the key personnel of the business to be transferred – including the Hold Separate Manager – are not involved in Gerling's pharmaceutical liability business in any way. Talanx will further ensure that the key personnel of the business to be transferred do not report to anyone within Gerling's pharmaceutical liability business regarding the business to be transferred.  </w:t>
        <w:br/>
        <w:t xml:space="preserve">7. Until the transfer date, Talanx will assist the monitoring trustee in ensuring that the business to be transferred is managed as a standalone and marketable unit and kept separate. Talanx will appoint a Hold Separate Manager who will be responsible for the management of the business to be transferred under the supervision of the monitoring trustee until the transfer date. The Hold Separate Manager will operate the business to be transferred independently and in the best business interest, with regard to securing lasting economic viability, marketability, and competitiveness, as well as the independence of the business to be transferred from the business areas remaining with the parties.  </w:t>
        <w:br/>
        <w:t xml:space="preserve">8. Talanx commits to separating the business to be transferred from the remaining business and/or supplementing it in such a way that it can continue to be operated as a viable and competitive business in the sense of Section 5 after the transfer date.  </w:t>
        <w:br/>
        <w:t xml:space="preserve">Separation of Information Flow  </w:t>
        <w:br/>
        <w:t>9. Talanx commits to taking all necessary measures to ensure that Gerling receives no business secrets, know-how, commercial information, or any other confidential or protected information regarding the business to be transferred after the cut-off date.</w:t>
      </w:r>
    </w:p>
    <w:p>
      <w:r>
        <w:rPr>
          <w:b/>
        </w:rPr>
        <w:t>[Pages 25–27]</w:t>
      </w:r>
    </w:p>
    <w:p>
      <w:r>
        <w:t xml:space="preserve">No poaching of key personnel  </w:t>
        <w:br/>
        <w:t xml:space="preserve">10. Talanx commits, with the usual restrictions, not to actively solicit key personnel transferred with the business to be divested for a period of three years after the transfer date and to ensure that its affiliated companies do not actively solicit them either.  </w:t>
        <w:br/>
        <w:t xml:space="preserve">“Due Diligence”  </w:t>
        <w:br/>
        <w:t xml:space="preserve">11. In order to enable potential buyers to conduct sufficient “Due Diligence” regarding the business to be divested, Talanx will ensure, subject to the usual confidentiality obligations and depending on the respective stage of the divestment process, that:  </w:t>
        <w:br/>
        <w:t xml:space="preserve">a) sufficient information regarding the business to be divested is provided to potential buyers;  </w:t>
        <w:br/>
        <w:t xml:space="preserve">b) sufficient information regarding the key personnel is provided to potential buyers and reasonable access to the workforce is granted to them.  </w:t>
        <w:br/>
        <w:t xml:space="preserve">Reporting  </w:t>
        <w:br/>
        <w:t xml:space="preserve">12. Talanx will submit a written report in German regarding potential acquirers of the business to be divested to the Commission and the monitoring trustee no later than 10 (ten) days after the end of each month following the transfer date (as well as upon request of the Commission).  </w:t>
        <w:br/>
        <w:t xml:space="preserve">13. Talanx will regularly inform the Commission and the monitoring trustee, in particular, about the preparation of the data room documentation and the “Due Diligence” process and will provide the Commission and the monitoring trustee with an information memorandum prior to sending it to potential buyers.  </w:t>
        <w:br/>
        <w:t xml:space="preserve">Section D. The Buyer  </w:t>
        <w:br/>
        <w:t xml:space="preserve">14. In order to ensure effective competition and for the Commission to approve a buyer, the buyer must:  </w:t>
        <w:br/>
        <w:t xml:space="preserve">a) be independent and not affiliated with the parties;  </w:t>
        <w:br/>
        <w:t xml:space="preserve">b) have experience in the field of industrial liability insurance;  </w:t>
        <w:br/>
        <w:t xml:space="preserve">c) have the financial strength, demonstrated expertise, and incentive to maintain and develop the business to be divested as a viable and active competitive force in European competition with the parties and other competitors; and  </w:t>
        <w:br/>
        <w:t xml:space="preserve">d) not raise any competition issues upon a prima facie review of the information available to the Commission, nor contribute to a risk that the implementation of the commitments will be delayed. Furthermore, he must, upon reasonable consideration, be able to obtain all necessary approvals from the relevant competition and other governmental authorities for the acquisition of the business to be divested.  </w:t>
        <w:br/>
        <w:t xml:space="preserve">(The criteria for a suitable buyer mentioned under a) to d) are hereinafter referred to as “Buyer Requirements”).  </w:t>
        <w:br/>
        <w:t xml:space="preserve">15. The contract for the sale of renewal rights (hereinafter also referred to as the “Purchase Agreement”) is to be concluded subject to the condition precedent of the Commission's approval. When Talanx reaches an agreement with a buyer, Talanx must submit a fully documented and justified proposal to the Commission and the monitoring trustee, accompanied by a copy of the divestment contract. Talanx must demonstrate that the buyer meets the Buyer Requirements and that the business to be divested is being sold in a manner suitable for fulfilling the commitments. For the purpose of granting approval, the Commission will ensure that the buyer meets the Buyer Requirements and that the business to be divested is sold in a manner suitable for fulfilling the commitments. The Commission will also examine whether the key personnel selected by the buyer are sufficient in number and suitability to maintain the business to be divested as viable and competitive. The Commission may also approve the sale of the business to be divested excluding one or more assets or parts of the workforce if this does not impair the viability and competitiveness of the business to be divested after the sale, considering the proposed buyer.  </w:t>
        <w:br/>
        <w:t xml:space="preserve">Section E. Trustee  </w:t>
        <w:br/>
        <w:t xml:space="preserve">70.1.1.1. Appointment Procedure  </w:t>
        <w:br/>
        <w:t xml:space="preserve">16. Talanx will appoint a monitoring trustee who will fulfill the tasks assigned to the monitoring trustee in these commitments. If HDI has not concluded a binding divestment contract one month before the expiration of the divestment period, or if the Commission rejects a buyer proposed by Talanx at that time or later, Talanx will appoint a divestment trustee who will then perform the functions described in these commitments. The appointment of the divestment trustee will take effect upon entry into the extended divestment period.  </w:t>
        <w:br/>
        <w:t xml:space="preserve">17. The trustee must be independent of the parties, possess the necessary qualifications for his tasks, such as a consulting firm or an auditing firm, and must not enter into a conflict of interest. The trustee will be compensated by the parties in a manner that does not impair the independent and effective fulfillment of his mandate. In particular, in cases where the compensation package of the divestment trustee includes a success fee linked to the sale price of the business to be divested, the compensation should also be linked to the timely divestment within the extended divestment period.  </w:t>
        <w:br/>
        <w:t xml:space="preserve">Proposal by the Parties  </w:t>
        <w:br/>
        <w:t xml:space="preserve">18. Talanx will submit to the Commission a list of at least two proposals for the position of the trustee and the complete underlying agreements for the mandates for approval, no later than one week after the transfer date in the case of the monitoring trustee and no later than two months before the end of the divestment period in the case of the divestment trustee. Each proposal must contain sufficient information for the Commission to verify whether the proposed trustee meets the requirements mentioned in paragraph 17. Each proposal will be accompanied by:  </w:t>
        <w:br/>
        <w:t xml:space="preserve">a) the complete mandate agreement, which contains all provisions necessary for the trustee to fulfill the tasks/duties assigned to him;  </w:t>
        <w:br/>
        <w:t>b) the draft of a work plan in which the proposed trustee describes how he intends to fulfill the tasks entrusted to him under the commitments;</w:t>
      </w:r>
    </w:p>
    <w:p>
      <w:r>
        <w:rPr>
          <w:b/>
        </w:rPr>
        <w:t>[Pages 28–30]</w:t>
      </w:r>
    </w:p>
    <w:p>
      <w:r>
        <w:t xml:space="preserve">c) an indication of whether the proposed trustee is to act as both the monitoring trustee and the divestiture trustee or whether different trustees are proposed for the two functions.  </w:t>
        <w:br/>
        <w:t xml:space="preserve">Approval or Rejection by the Commission  </w:t>
        <w:br/>
        <w:t xml:space="preserve">19. It is at the discretion of the Commission to approve or reject the proposed trustee(s) and to approve the proposed mandate agreement (possibly subject only to those changes it deems necessary for the trustee to fulfill its obligations). If only one proposed name is approved, Talanx appoints the person or entity eligible to act as trustee in accordance with the mandate agreement approved by the Commission or arranges for the appointment. If more than one proposal is approved, Talanx may freely choose the trustee to be appointed from the approved proposals. The trustee is to be appointed within one week after approval by the Commission and in accordance with the mandate agreement approved by the Commission.  </w:t>
        <w:br/>
        <w:t xml:space="preserve">New Proposal by the Parties  </w:t>
        <w:br/>
        <w:t xml:space="preserve">20. If all proposed trustees are rejected, Talanx shall submit the names of at least two additional persons or entities within one week after notification of the rejection, in accordance with the requirements of Section 16 and the procedure of Section 19.  </w:t>
        <w:br/>
        <w:t xml:space="preserve">Trustee Appointed by the Commission  </w:t>
        <w:br/>
        <w:t xml:space="preserve">21. If all further proposed trustees are rejected by the Commission, the Commission shall appoint a trustee whom Talanx is to appoint in accordance with a mandate agreement approved by the Commission or arrange for the appointment.  </w:t>
        <w:br/>
        <w:t xml:space="preserve">Functions of the Trustee  </w:t>
        <w:br/>
        <w:t xml:space="preserve">22. The trustee assumes the tasks/obligations described in detail below to ensure compliance with the commitments. The Commission may give the trustee orders or instructions, either on its own initiative or at the request of the trustee or Talanx, to ensure compliance with the commitments.  </w:t>
        <w:br/>
        <w:t xml:space="preserve">Duties and Responsibilities of the Monitoring Trustee  </w:t>
        <w:br/>
        <w:t xml:space="preserve">23. The monitoring trustee:  </w:t>
        <w:br/>
        <w:t xml:space="preserve">(i) proposes a detailed work plan in its first report to the Commission, in which it describes how it intends to monitor compliance with the commitments.  </w:t>
        <w:br/>
        <w:t xml:space="preserve">(ii) supervises the ongoing management of the business to be divested regarding the assurance of its continued economic viability, marketability, and competitiveness and monitors Talanx's compliance with the obligations and conditions contained in the decision. For this purpose, the monitoring trustee will:  </w:t>
        <w:br/>
        <w:t xml:space="preserve">a) monitor the maintenance of the economic viability and competitiveness of the business to be divested as well as the separation of the business to be divested from the business remaining with Talanx in accordance with Sections 5 and 6 of the commitments;  </w:t>
        <w:br/>
        <w:t xml:space="preserve">b) monitor the operation of the business to be divested as a separate and marketable unit in accordance with Section 7 of the commitments;  </w:t>
        <w:br/>
        <w:t xml:space="preserve">c) (i) in consultation with Talanx, determine all necessary measures to ensure that Gerling does not receive any trade secrets, know-how, business information, or any other information of a confidential or protected nature regarding the business to be divested after the cut-off date, and (ii) decide whether such information can be disclosed to Gerling, provided it is necessary for the divestiture or required by law;  </w:t>
        <w:br/>
        <w:t xml:space="preserve">d) monitor the allocation of resources and key personnel between the business to be divested and the remaining business;  </w:t>
        <w:br/>
        <w:t xml:space="preserve">(iii) carry out all other tasks assigned to it in accordance with the obligations and conditions of the decision;  </w:t>
        <w:br/>
        <w:t xml:space="preserve">(iv) propose to Talanx such measures as it deems necessary to ensure compliance with the conditions and obligations of the decision, particularly the maintenance of the full economic viability, marketability, and competitiveness of the business to be divested as well as the allocation of resources and key personnel between the business to be divested and the remaining business;  </w:t>
        <w:br/>
        <w:t xml:space="preserve">(v) review and assess potential buyers and the progress of the divestiture process and ensure that potential buyers receive sufficient information depending on the respective stage of the divestiture process by (a) reviewing the data room documentation and the information memorandum, if available, accompanying the due diligence, and (b) checking whether potential buyers are granted sufficient access to the workforce;  </w:t>
        <w:br/>
        <w:t xml:space="preserve">(vi) prepare a written report for the Commission within 15 (fifteen) calendar days after the end of each month, with Talanx receiving a copy at the same time. The report will describe the operation and management of the business to be divested so that the Commission can assess whether the business is being conducted in accordance with the commitments, the progress of the divestiture process, and potential buyers. In addition to these reports, the monitoring trustee shall inform the Commission immediately and in writing, with a simultaneous copy to Talanx, if it reasonably concludes that Talanx is not complying with the obligations undertaken within the framework of the commitments;  </w:t>
        <w:br/>
        <w:t xml:space="preserve">(vii) assess, as soon as Talanx has proposed a buyer to the Commission in accordance with Paragraph 15, within one week of receipt of the proposal, the independence and suitability of the proposed buyer as well as the viability of the business to be divested after a divestiture to the proposed buyer. It will also assess and inform the Commission whether the business to be divested is likely to be sold in a manner consistent with the commitments, particularly, if relevant, whether, taking into account the proposed buyer, a sale excluding one or more assets or parts of the workforce does not impair the viability of the business to be divested after the sale;  </w:t>
        <w:br/>
        <w:t>(viii) report to the Commission whether the key personnel selected by the buyer are sufficient in number and suitability to keep the business to be divested viable and competitive.</w:t>
      </w:r>
    </w:p>
    <w:p>
      <w:r>
        <w:rPr>
          <w:b/>
        </w:rPr>
        <w:t>[Pages 31–33]</w:t>
      </w:r>
    </w:p>
    <w:p>
      <w:r>
        <w:t xml:space="preserve">Obligations and Duties of the Sale Trustee  </w:t>
        <w:br/>
        <w:t xml:space="preserve">24. Within the Extended Sale Period, the Sale Trustee shall sell the Business to be Sold without being bound by a minimum price to a buyer independent of the parties, provided that the Commission has approved the buyer and the sale agreement in accordance with the procedure set out in Section 15. The Sale Trustee shall include in the sale agreement such conditions and stipulations that are appropriate for a quick sale within the Extended Sale Period. In particular, the Sale Trustee may include those customary warranties and indemnities in the sale agreement that are reasonably necessary for the conclusion of the sale. The Sale Trustee shall take into account the financial interests of Talanx and HDI as far as possible, subject to the parties being subject to the unrestricted obligation to sell without being bound by a minimum price [■■■] within the extended sale period.  </w:t>
        <w:br/>
        <w:t xml:space="preserve">25. During the Extended Sale Period (or otherwise at the request of the Commission), the Sale Trustee shall submit to the Commission a comprehensive written report in German on the progress of the sale process on a monthly basis. These reports are to be submitted within 15 (fifteen) calendar days after the end of each month. A non-confidential copy of these reports shall be made available to the parties simultaneously.  </w:t>
        <w:br/>
        <w:t xml:space="preserve">Obligations and Duties of the Parties  </w:t>
        <w:br/>
        <w:t xml:space="preserve">26. Talanx and Talanx’s advisors shall provide the Trustee with support and information, including copies of all relevant documents that the Trustee reasonably requires to fulfill his duties. The Trustee shall have full access to all books, records, documents, employees, facilities, locations, and technical information of Talanx or the Business to be Sold that are reasonably necessary for the fulfillment of his duties under the commitments. Talanx shall provide the Trustee with one or more offices in its business premises and shall be available for meetings to supply the Trustee with the necessary information for the fulfillment of his task.  </w:t>
        <w:br/>
        <w:t xml:space="preserve">27. Talanx shall provide the Monitoring Trustee with all support from the management and administration that he reasonably requests to assist the management of the Business to be Sold. This includes all functional areas of the company where a central office provides services for the Business to be Sold. Talanx shall grant the Monitoring Trustee access, upon request, to the information transmitted to potential buyers, in particular to data room documentation and all other information provided to potential buyers in the context of due diligence. Talanx shall inform the Monitoring Trustee about potential buyers, provide him with a list of potential buyers, and keep him informed about the progress of the sale process. Talanx shall keep the Monitoring Trustee updated regarding developments in the sale process.  </w:t>
        <w:br/>
        <w:t xml:space="preserve">28. Talanx shall grant the Sale Trustee a duly issued power of attorney and shall cause the companies affiliated with Talanx to issue powers of attorney that empower him to perform all actions necessary for the sale and transfer of the Business to be Sold, including the hiring of advisors, and to make the corresponding declarations. At the request of the Sale Trustee, Talanx shall ensure that the documents required for the execution of the sale and transfer of the Business to be Sold are properly executed.  </w:t>
        <w:br/>
        <w:t xml:space="preserve">29. Talanx shall indemnify the Trustee and his employees and agents from liability (each a "released party") and agrees that a released party shall not be liable to Talanx for liabilities arising in the performance of their duties, provided that such performance is in accordance with the commitments. Excluded from this indemnification obligation are liabilities arising from intent or gross negligence of the Trustee, his employees, agents, or advisors.  </w:t>
        <w:br/>
        <w:t xml:space="preserve">30. Subject to Talanx's approval (which Talanx shall not withhold without good reason), the Trustee may appoint advisors (particularly for legal or financial advice) at Talanx's expense and enter into reasonable fee or other obligations if the Trustee deems the advisors necessary and required for the fulfillment of his duties under the Trustee mandate. Should Talanx reject the advisors proposed by the Trustee, the Commission may approve the advisors instead, after hearing Talanx. Only the Trustee is entitled to give instructions to the advisors. Section 29 applies accordingly to these advisors. During the Extended Sale Period, the Sale Trustee may involve advisors who have supported Talanx during the sale period, provided that the Sale Trustee considers this to be in the best interest of a quick sale.  </w:t>
        <w:br/>
        <w:t xml:space="preserve">Replacement, Dismissal, and Reinstatement of the Trustee  </w:t>
        <w:br/>
        <w:t xml:space="preserve">31. If the Trustee fails to perform his functions under the commitments, or otherwise for good cause (where the fact that the Trustee is exposed to a conflict of interest is considered good cause):  </w:t>
        <w:br/>
        <w:t xml:space="preserve">a) the Commission may, after hearing the Trustee, instruct Talanx to replace him,  </w:t>
        <w:br/>
        <w:t xml:space="preserve">b) Talanx may replace the Trustee with the prior approval of the Commission.  </w:t>
        <w:br/>
        <w:t xml:space="preserve">32. If a Trustee is removed from his duties in accordance with Section 31, he may be required to continue his duties until a new Trustee takes over his function. He shall fully hand over all relevant information to the new Trustee. The new Trustee shall be appointed in accordance with the procedure set out in Sections 16 to 21.  </w:t>
        <w:br/>
        <w:t xml:space="preserve">33. Except in the case of dismissal under Section 31, the Trustee shall cease to act as Trustee only when the Commission has released him from his duties after he has fulfilled all tasks with which he was entrusted as Trustee. However, the Commission may at any time require that a Monitoring Trustee be reinstated if it later becomes apparent that a commitment has not been fully and properly implemented.  </w:t>
        <w:br/>
        <w:t xml:space="preserve">Section F. Review Clause  </w:t>
        <w:br/>
        <w:t xml:space="preserve">34. The Commission may, if deemed appropriate, upon a justified request from Talanx demonstrating "good cause," and provided that a report from the Monitoring Trustee is attached:  </w:t>
        <w:br/>
        <w:t xml:space="preserve">(i) GRANT AN EXTENSION OF THE SALE PERIOD(S) PROVIDED FOR IN THE COMMITMENTS OR  </w:t>
        <w:br/>
        <w:t xml:space="preserve">(ii) IN EXCEPTIONAL CASES, CHANGE OR REPLACE ONE OR MORE CONDITIONS AND OBLIGATIONS CONTAINED IN THESE COMMITMENTS OR WAIVE THEM ENTIRELY.  </w:t>
        <w:br/>
        <w:t>71. IF TALANX WISHES TO OBTAIN AN EXTENSION OF THE SALE PERIOD(S), TALANX SHALL SUBMIT A CORRESPONDING, SUFFICIENTLY JUSTIFIED REQUEST DEMONSTRATING "GOOD CAUSE," NO LATER THAN 1 MONTH BEFORE THE EXPIRATION OF THE RELEVANT DEADLINE. ONLY IN EXCEPTIONAL CASES IS TALANX ENTITLED TO REQUEST AN EXTENSION WITHIN THE LAST MONTH BEFORE THE DEADLINE EXPIRES.</w:t>
      </w:r>
    </w:p>
    <w:p>
      <w:r>
        <w:rPr>
          <w:b/>
        </w:rPr>
        <w:t>[Pages 34–36]</w:t>
      </w:r>
    </w:p>
    <w:p>
      <w:r>
        <w:t xml:space="preserve">Hannover, April 3, 2006  </w:t>
        <w:br/>
        <w:t xml:space="preserve">Talanx Aktiengesellschaft  </w:t>
        <w:br/>
        <w:t xml:space="preserve">________________________  </w:t>
        <w:br/>
        <w:t xml:space="preserve">________________________  </w:t>
        <w:br/>
        <w:t xml:space="preserve">Herbert K. Haas Dr. Martin Wienke  </w:t>
        <w:br/>
        <w:t xml:space="preserve">Member of the Board  </w:t>
        <w:br/>
        <w:t>General Authorized Representative</w:t>
      </w:r>
    </w:p>
    <w:p>
      <w:r>
        <w:t xml:space="preserve">ATTACHMENTS  </w:t>
        <w:br/>
        <w:t xml:space="preserve">Business to be Sold  </w:t>
        <w:br/>
        <w:t xml:space="preserve">According to Clause 4 of this commitment, the business to be sold includes:  </w:t>
        <w:br/>
        <w:t xml:space="preserve">a) the renewal rights of the pharmaceutical liability contracts (sole underwriting, leading and participation shares, but excluding liability contracts within the meaning of § 94 AMG) of HDI with pharmaceutical companies based in Germany;  </w:t>
        <w:br/>
        <w:t xml:space="preserve">at the buyer's request, renewal rights for liability contracts within the meaning of § 94 AMG will also be sold to the buyer for policyholders for whom the buyer acquires renewal rights for the other pharmaceutical liability contracts;  </w:t>
        <w:br/>
        <w:t xml:space="preserve">at the buyer's request, HDI will also sell and transfer to the buyer the existing pharmaceutical liability insurance contracts (including those within the meaning of § 94 AMG) of policyholders for whom the buyer also acquires the renewal rights; the details of this commitment require a supplementary regulation in this case.  </w:t>
        <w:br/>
        <w:t xml:space="preserve">A list of the pharmaceutical liability contracts that are the subject of this commitment is attached as  </w:t>
        <w:br/>
        <w:t xml:space="preserve">Annex A  </w:t>
        <w:br/>
        <w:t xml:space="preserve">(Trade Secret).  </w:t>
        <w:br/>
        <w:t>b) Key personnel from HDI in sufficient numbers, particularly from the following areas:</w:t>
      </w:r>
    </w:p>
    <w:p>
      <w:r>
        <w:t xml:space="preserve">- Sales (Underwriting),  </w:t>
        <w:br/>
        <w:t xml:space="preserve">- Risk Analysis (Risk Management),  </w:t>
        <w:br/>
        <w:t xml:space="preserve">- Claims Processing (Claims Management),  </w:t>
        <w:br/>
        <w:t xml:space="preserve">where the number of key personnel and their designation depend on the needs and wishes of the buyer, and the selection is made by the buyer.  </w:t>
        <w:br/>
        <w:t xml:space="preserve">A list of the key personnel, including detailed information on their previous areas of activity and professional experience, is attached as  </w:t>
        <w:br/>
        <w:t xml:space="preserve">Annex B  </w:t>
        <w:br/>
        <w:t xml:space="preserve">(Trade Secret).  </w:t>
        <w:br/>
        <w:t xml:space="preserve">c) Documents, records, other operational resources, etc.:  </w:t>
        <w:br/>
        <w:t xml:space="preserve">Copies of the files concerning the respective customers according to Annex A, particularly  </w:t>
        <w:br/>
        <w:t xml:space="preserve">(i) documents for the risk assessment of the customer,  </w:t>
        <w:br/>
        <w:t xml:space="preserve">(ii) information on the active ingredients and pharmaceuticals used by the customer,  </w:t>
        <w:br/>
        <w:t xml:space="preserve">(iii) analyses of the risk potential of the customer,  </w:t>
        <w:br/>
        <w:t xml:space="preserve">(iv) investigations into the insurability of the customer risks,  </w:t>
        <w:br/>
        <w:t xml:space="preserve">(v) information on comparable and new risks of the customer,  </w:t>
        <w:br/>
        <w:t>(vi) loss statistics relevant to the risk assessment of the customer,</w:t>
      </w:r>
    </w:p>
    <w:p>
      <w:r>
        <w:rPr>
          <w:b/>
        </w:rPr>
        <w:t>[Pages 37–37]</w:t>
      </w:r>
    </w:p>
    <w:p>
      <w:r>
        <w:t xml:space="preserve">(vii) Market data concerning the customer (e.g. sales revenues, sales areas, distribution systems of the customer),  </w:t>
        <w:br/>
        <w:t xml:space="preserve">(viii) Documents related to claims, in particular,  </w:t>
        <w:br/>
        <w:t xml:space="preserve">- Number of claims,  </w:t>
        <w:br/>
        <w:t xml:space="preserve">- Claims expenses,  </w:t>
        <w:br/>
        <w:t xml:space="preserve">(ix) Documents regarding legal opinions concerning claims of the customer,  </w:t>
        <w:br/>
        <w:t xml:space="preserve">(x) Release of lawyers from the confidentiality obligation regarding the legal assessment of claims of the customer,  </w:t>
        <w:br/>
        <w:t xml:space="preserve">(xi) Consent to the assumption of mandates for the acquirer by law firms, as far as this is legally required and permissible,  </w:t>
        <w:br/>
        <w:t xml:space="preserve">(xii) Documents regarding changes in the customer’s product range (including active substances used),  </w:t>
        <w:br/>
        <w:t xml:space="preserve">(xiii) Information on risk-relevant suppliers,  </w:t>
        <w:br/>
        <w:t xml:space="preserve">(xiv) Information for the assessment of the customer’s risks by reinsurers,  </w:t>
        <w:br/>
        <w:t xml:space="preserve">(xv) Documents regarding terms and premiums of reinsurers for the insurance of customer risks,  </w:t>
        <w:br/>
        <w:t xml:space="preserve">(xvi) Risk-relevant documents about the scope and reason for the customer’s support,  </w:t>
        <w:br/>
        <w:t xml:space="preserve">(xvii) Documents for the calculation and amount of premiums in the past,  </w:t>
        <w:br/>
        <w:t xml:space="preserve">(xviii) Information on contact persons at the customer,  </w:t>
        <w:br/>
        <w:t xml:space="preserve">(xix) Documents regarding the involvement of brokers in the insurance of the customer,  </w:t>
        <w:br/>
        <w:t xml:space="preserve">(xx) Contact details for [■■■].  </w:t>
        <w:br/>
        <w:t>As far as the documents, materials, and information listed in this subparagraph c) are available in electronic form, Talanx will also provide the corresponding data to the acquirer in electronic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