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https://ec.europa.eu/competition/mergers/cases/decisions/m5047_20080623_20212_de.pdf</w:t>
      </w:r>
    </w:p>
    <w:p>
      <w:r>
        <w:t>Pages translated : 40</w:t>
      </w:r>
    </w:p>
    <w:p/>
    <w:p>
      <w:r>
        <w:rPr>
          <w:b/>
        </w:rPr>
        <w:t>[Pages 1–3]</w:t>
      </w:r>
    </w:p>
    <w:p>
      <w:r>
        <w:t xml:space="preserve">CASE No. COMP/M.5047 -  </w:t>
        <w:br/>
        <w:t xml:space="preserve">REWE / ADEG  </w:t>
        <w:br/>
        <w:t xml:space="preserve">Only the German text is available and binding.  </w:t>
        <w:br/>
        <w:t xml:space="preserve">REGULATION (EC) No. 139/2004  </w:t>
        <w:br/>
        <w:t xml:space="preserve">ON MERGER PROCEDURES  </w:t>
        <w:br/>
        <w:t xml:space="preserve">Article 6, Paragraph 2 NO OBJECTIONS  </w:t>
        <w:br/>
        <w:t xml:space="preserve">Date: 23/06/2008  </w:t>
        <w:br/>
        <w:t xml:space="preserve">In electronic format on the EUR-Lex website under  </w:t>
        <w:br/>
        <w:t xml:space="preserve">document number 32008M5047  </w:t>
        <w:br/>
        <w:t xml:space="preserve">Office for Official Publications of the European Communities  </w:t>
        <w:br/>
        <w:t>L-2985 Luxembourg</w:t>
      </w:r>
    </w:p>
    <w:p>
      <w:r>
        <w:t xml:space="preserve">COMMISSION OF THE EUROPEAN COMMUNITIES  </w:t>
        <w:br/>
        <w:t xml:space="preserve">Brussels, 23/06/2008  </w:t>
        <w:br/>
        <w:t xml:space="preserve">SG-Greffe(2008) D/204033  </w:t>
        <w:br/>
        <w:t xml:space="preserve">C(2008) 3239  </w:t>
        <w:br/>
        <w:t xml:space="preserve">In the published version of this decision  </w:t>
        <w:br/>
        <w:t xml:space="preserve">PUBLIC VERSION  </w:t>
        <w:br/>
        <w:t xml:space="preserve">certain information has been omitted in accordance with Art. 17 (2)  </w:t>
        <w:br/>
        <w:t xml:space="preserve">of the Council Regulation (EC) No. 139/2004 on the  </w:t>
        <w:br/>
        <w:t xml:space="preserve">non-disclosure of business secrets  </w:t>
        <w:br/>
        <w:t xml:space="preserve">and other confidential information  </w:t>
        <w:br/>
        <w:t xml:space="preserve">MERGER PROCEDURE  </w:t>
        <w:br/>
        <w:t xml:space="preserve">The omissions are marked by brackets [...]. As far as possible,  </w:t>
        <w:br/>
        <w:t xml:space="preserve">the omitted information has been replaced by a range/area indication of numbers or a  </w:t>
        <w:br/>
        <w:t xml:space="preserve">general description.  </w:t>
        <w:br/>
        <w:t xml:space="preserve">To the notifying parties:  </w:t>
        <w:br/>
        <w:t xml:space="preserve">Dear Sir or Madam!  </w:t>
        <w:br/>
        <w:t xml:space="preserve">Subject: Case No. COMP/M.5047 - REWE/ ADEG  </w:t>
        <w:br/>
        <w:t xml:space="preserve">Notification of 23 April 2008 pursuant to Article 4 of Regulation (EC)  </w:t>
        <w:br/>
        <w:t xml:space="preserve">No. 139/2004 of the Council (Merger Control Regulation)1  </w:t>
        <w:br/>
        <w:t xml:space="preserve">1. On 23 April 2007, a notification of a merger project was received by the  </w:t>
        <w:br/>
        <w:t xml:space="preserve">Commission. The following is intended: The company Billa AG ("Billa", Austria), which belongs to the REWE Group ("REWE", Germany), acquires control over the company Adeg Österreich Handelsaktiengesellschaft ("ADEG", Austria) through the purchase of shares in accordance with Article 3 Paragraph 1 Letter b of Regulation (EC) No. 139/2004 of the Council on the control of concentrations between undertakings ("Merger Control Regulation").  </w:t>
        <w:br/>
        <w:t xml:space="preserve">2. On 27 May 2008, REWE offered commitments. These commitments were modified on 10 June 2008 and 19 June 2008.  </w:t>
        <w:br/>
        <w:t xml:space="preserve">3. On 29 May 2008, the Commission sent a decision to REWE pursuant to Article 11 Paragraph 3 of the Merger Control Regulation after REWE had not fully responded to a request for information from the Commission. According to Article 9 of Commission Regulation No. 802/2004, the deadlines referred to in Article 10 Paragraph 1 and 3 of the Merger Control Regulation are suspended for the duration between the end of the deadline set in the first request for information and the receipt of the correct and complete information requested by the present decision pursuant to Article 11 Paragraph 3 of Regulation 139/2004. Accordingly, the running of the deadlines of Article 10 of the Merger Control Regulation was interrupted on 27 May 2008 and resumed after the complete information was submitted on 30 May 2008.  </w:t>
        <w:br/>
        <w:t xml:space="preserve">I. THE PARTIES  </w:t>
        <w:br/>
        <w:t xml:space="preserve">4. REWE is a German corporate group active in the retail of food and non-food ("LEH"), in the wholesale of food and non-food ("LGH"), as well as in the areas of travel and tourism in several European countries. In Austria, REWE operates in the LEH under the brands Billa, Merkur, and Penny. In the LGH, REWE has only marginal activities in Austria. REWE is also active in the drugstore sector in Austria under the brand BIPA. In addition, REWE operates as a buyer of products in the Austrian procurement markets.  </w:t>
        <w:br/>
        <w:t xml:space="preserve">5. In Austria, REWE owns and operates approximately 1,000 supermarkets under the brand Billa (the majority with store sizes of 400-1,000 m²), 108 consumer markets under the brand Merkur (the majority with store sizes of approximately 1,500-3,000 m²), and 258 discounters under the brand Penny (size approximately 500 m²). Furthermore, REWE holds a minority stake of 24.9% in the supermarket chain Sutterlüty Handels GmbH, which operates 21 supermarkets in western Austria.  </w:t>
        <w:br/>
        <w:t xml:space="preserve">6. ADEG operates in the LEH and LGH in Austria. ADEG operates three of its own wholesale distribution centers and 19 cash &amp; carry markets. Regarding the LEH, ADEG operates 83 retail stores, of which 15 are consumer markets or large supermarkets under the brand name "Magnet" with store sizes over 1,500 m² (as of the end of 2007). 11 of the ADEG stores are small supermarkets/convenience stores with sizes below 400 m².  </w:t>
        <w:br/>
        <w:t xml:space="preserve">7. In addition, ADEG supplies 582 stores owned by independent ADEG retailers. REWE holds the view that the independent retailers are not controlled by ADEG. Of the 582 stores, 472 are small supermarkets/convenience stores with sizes of under 400 m².  </w:t>
        <w:br/>
        <w:t xml:space="preserve">8. 37.6% of the shares in ADEG are currently held by the independent ADEG retailers through ADEG Österreich Grosseinkauf der Kaufleute (AÖGen), Edeka Chiemgau holds 37.5% of the shares, and REWE currently holds 24.9% of the shares in ADEG.  </w:t>
        <w:br/>
        <w:t xml:space="preserve">II. THE PROJECT AND THE MERGER  </w:t>
        <w:br/>
        <w:t>9. REWE intends to acquire all shares in ADEG held by Edeka Chiemgau (37.5%) as well as 12.6% of the shares held by AÖGen. After the transaction, REWE will own 75% of the shares in ADEG, while AÖGen will hold 25% of the shares. The 75% stake gives REWE sole control over ADEG. The transaction constitutes a merger within the meaning of Article 3 Paragraph 1 Letter b of the Merger Control Regulation.</w:t>
      </w:r>
    </w:p>
    <w:p>
      <w:r>
        <w:rPr>
          <w:b/>
        </w:rPr>
        <w:t>[Pages 4–6]</w:t>
      </w:r>
    </w:p>
    <w:p>
      <w:r>
        <w:t xml:space="preserve">III. COMMUNITY SIGNIFICANCE  </w:t>
        <w:br/>
        <w:t xml:space="preserve">10. The companies involved achieve a worldwide total turnover of more than EUR 5 billion. In 2006, REWE's turnover amounted to EUR 31,190 million; ADEG achieved EUR 737 million. The community-wide total turnover of each of at least two of the relevant companies is more than EUR 250 million (REWE: EUR […] million; ADEG: EUR […] million). REWE generated more than two-thirds of its community-wide turnover in Germany. ADEG generated all its turnover in Austria. The notified transaction therefore has community-wide significance.  </w:t>
        <w:br/>
        <w:t xml:space="preserve">IV. COMPETITIVE ASSESSMENT  </w:t>
        <w:br/>
        <w:t xml:space="preserve">11. The notified transaction concerns the Austrian markets for the retail of fast-moving consumer goods (FMCG) and wholesale (WH) as well as several procurement markets.  </w:t>
        <w:br/>
        <w:t xml:space="preserve">1. Retail of Fast-Moving Consumer Goods (FMCG)  </w:t>
        <w:br/>
        <w:t xml:space="preserve">1.1 Relevant Product Market  </w:t>
        <w:br/>
        <w:t xml:space="preserve">12. REWE considers the relevant product market to be the market for the retail of fast-moving consumer goods, which encompasses all "modern distribution channels," namely supermarkets, hypermarkets, and discounters. Regarding discounters, REWE argues that in Austria, the discounter chains Hofer, Lidl, and Penny (the latter belonging to REWE) offer the complete product range typically found in supermarkets, albeit with a limited number of alternative products.  </w:t>
        <w:br/>
        <w:t xml:space="preserve">13. In recently decided cases concerning the Czech and Polish markets, the Commission defined the retail market for fast-moving consumer goods to include all modern distribution channels, including discounter chains. In earlier proceedings, particularly in the case REWE/Meinl, the question was left open. Regarding other distribution channels such as specialty stores, gas station shops, or cash &amp; carry stores, the Commission determined that these operate in separate markets.  </w:t>
        <w:br/>
        <w:t xml:space="preserve">2 The turnover calculation was based on Article 5 (1) of the Merger Control Regulation and the Commission's notice on the calculation of turnover (OJ C 66 of 2.3.1998, p. 25).  </w:t>
        <w:br/>
        <w:t xml:space="preserve">3 M.4590 REWE/Delvita; M.4522, Carrefour/Ahold Polska.  </w:t>
        <w:br/>
        <w:t xml:space="preserve">4 Whether discounters should be included in the relevant product market was left open in COMOP/M.1684-Carrefour/Promodes paragraph 12 and COMP/M.1221-REWE/Meinl paragraph 17. In the case COMP/M.3905 Tesco/Carrefour, the market investigation confirmed that regarding pricing policy, hypermarkets seem to be closer to discounters than supermarkets, paragraph 12.  </w:t>
        <w:br/>
        <w:t xml:space="preserve">5 For example, decisions of the Commission in cases IV/M.784 Kesko/paragraph Tuko 19..20; COMP/M.1221-REWE/Meinl, paragraphs 12, 16; COMP/M.1684-Carrefour/Promodes, paragraph 9 and M.3646 Kesko/ICA/JV paragraph 10 f, where the product market definition was left open.  </w:t>
        <w:br/>
        <w:t>3</w:t>
      </w:r>
    </w:p>
    <w:p>
      <w:r>
        <w:t xml:space="preserve">Discounters are part of the FMCG market  </w:t>
        <w:br/>
        <w:t xml:space="preserve">14. The Commission conducted a market investigation to verify the extent to which the various retail formats in Austria compete with each other. In particular, it was examined whether discounter chains belong to the relevant product market.  </w:t>
        <w:br/>
        <w:t xml:space="preserve">15. The market investigation revealed that the number of products at discounters is significantly smaller than at full-range supermarkets or hypermarkets. However, the market investigation also found that the discounters active in Austria (Hofer and Lidl) essentially sell the complete range of fast-moving consumer goods, including fresh products. Only the selection within the product offering is typically more limited than at supermarkets.  </w:t>
        <w:br/>
        <w:t xml:space="preserve">16. The market investigation further demonstrates that in principle, all competitors observe price movements from discounters. Most competitors also believe that REWE and its largest competitor SPAR, as full-range retailers, are competitively constrained by the discounter Hofer. The majority of competitors state that they also respond to price reductions from discounters. Most competitors indicate that they gain customers when discounters raise prices. In recent years, discounters have gained market shares at the expense of full-range retailers. In this context, the Commission also points out that the combined market share in the FMCG sector of the discounters Hofer and Lidl, according to AC Nielsen, increased from approximately 11% to approximately 24% between 1995 and 2007. All of this indicates that discounters exert competitive pressure on full-range retailers in Austria.  </w:t>
        <w:br/>
        <w:t xml:space="preserve">17. In addition to surveying market participants, the Commission examined how REWE's sales develop when the discounter Hofer enters a local market. The sales data provided by REWE concerning 32 cases in 2006 and 2007 show that after the opening of a Hofer store, the sales of the nearest Billa store decline in the six months following the opening compared to the six months prior to the opening of the Hofer store. This indicates a competitive constraint on REWE by discounters.  </w:t>
        <w:br/>
        <w:t xml:space="preserve">18. The fact that the decline in the submitted sample is only relatively small (approximately [0-5]%) does not argue against a competitive constraint, as this reaction is merely the net effect of two opposing movements: It is assumed that the opening of a Hofer branch generally attracts a higher number of customers into the catchment area of the Billa branch. As a result, a Billa branch initially benefits from the opening of other stores, including discounters, in its vicinity due to this quantity effect. At the same time, a countervailing competitive effect occurs, which shows the switch of Billa customers to the newly opened Hofer. Furthermore, losses in other nearby Billa stores were not taken into account, only those of the nearest branch. The effect shown in the analysis is therefore likely to be underestimated and represents a conservative estimate. This competitive pressure does not exclude a certain complementarity between discounters and full-range retailers.  </w:t>
        <w:br/>
        <w:t xml:space="preserve">19. However, the Commission's market investigation has shown that discounters with little or no share of branded products (so-called hard discounters) exert a gradually lower competitive pressure on full-range retailers than so-called soft discounters, which also have branded products or compete with full-range retailers.  </w:t>
        <w:br/>
        <w:t xml:space="preserve">20. The turnover data collected in the market investigation show that the largest Austrian discounter, Hofer, initially exerts competitive pressure primarily on the private labels of full-range supermarkets. The Commission examined how full-range retailers respond to price reductions from discounters. The data provided by both REWE and SPAR show that prices of entry-level products (typically private or exclusive labels) directly respond to price reductions from discounters. For instance, REWE's private label "Clever" copies the corresponding Hofer products and Hofer prices. The examples provided by competitor SPAR also demonstrate a direct price reaction for so-called key items, the prices of which consumers are aware of and track.  </w:t>
        <w:br/>
        <w:t xml:space="preserve">21. The price reaction for entry-level products or key items (typically private or exclusive labels) can subsequently also influence the price of further branded products, as higher prices for branded products can only be maintained if their brand image or quality significantly differs from non-branded products. Insofar as entry-level products represent (imperfect) substitutes for branded products, a price reduction in the entry-level price range thus exerts competitive pressure on branded products within a retail chain. REWE illustrates this effect using the example of dairy products, where price reductions from discounters in April 2008 led to price reductions of branded products. Other competitors also point out this example of competitive pressure from discounters in the market investigation. Furthermore, the Commission demonstrated in the case SCA/P&amp;G European Tissue Business for the Austrian market for pocket and household tissues that branded products lose market shares if they do not respond to the lower prices of private labels.  </w:t>
        <w:br/>
        <w:t>22. The examples provided by SPAR, particularly for butter or orange juice, do not refute that discounters exert competitive pressure on full-range retailers. It should first be noted that SPAR examines a very small number of products relative to those typically carried by discounters or supermarkets. SPAR also considers only an extremely short period of a few weeks, which is not sufficient to adequately capture the competitive pressure from discounters. Above all, however, SPAR explicitly acknowledges the influence of discounters on price formation for the so-called key items. Thus, a limited competitive pressure exerted by discounters is ultimately not disputed by SPAR, especially since SPAR argues that discounters have gained significant market shares in the FMCG sector at the expense of full-range supermarkets in recent years (see above).</w:t>
      </w:r>
    </w:p>
    <w:p>
      <w:r>
        <w:rPr>
          <w:b/>
        </w:rPr>
        <w:t>[Pages 7–9]</w:t>
      </w:r>
    </w:p>
    <w:p>
      <w:r>
        <w:t xml:space="preserve">23. Based on the investigations conducted through interviews with competitors and the examination of price and sales developments, the Commission has concluded that in Austria, discounters exert competitive pressure on full-range retailers. These restrictions are already significantly strong in the short term for private labels and entry-level products. The Commission assumes that these effects will also impact branded products, possibly with a time delay. While it cannot be ruled out that there are customers who consider certain branded products in supermarkets as not interchangeable at all, it is also assumed that at least some customers will consider switching if the price difference between the two products increases permanently. A permanently larger price difference makes it more difficult for brand producers to justify or maintain the high price compared to the non-branded product. On the other hand, private labels in supermarkets are increasingly positioned as branded products. This blurs the lines between manufacturer brands and private labels. </w:t>
        <w:br/>
        <w:t xml:space="preserve">24. Due to this competitive interaction between discounters and full-range retailers, it is appropriate to consider discounters as part of the grocery retail market in Austria. The relevant product market of grocery retail thus includes supermarkets, consumer markets, and discounters in Austria. </w:t>
        <w:br/>
        <w:t xml:space="preserve">Non-Food II Products </w:t>
        <w:br/>
        <w:t xml:space="preserve">25. The Commission has examined in previous decisions whether the so-called Non-Food II products are part of the grocery retail market. Non-Food II products are goods that, unlike food and other everyday products, are not regularly purchased by consumers. These include, for example, televisions, bicycles, or toys. However, these goods are occasionally offered for sale by companies active in grocery retail. </w:t>
        <w:br/>
        <w:t xml:space="preserve">26. In the present case, it can remain open whether Non-Food II products are part of the grocery retail market, as this would not lead to a different competitive assessment of the case. </w:t>
        <w:br/>
        <w:t xml:space="preserve">1.2 Geographical Market </w:t>
        <w:br/>
        <w:t xml:space="preserve">27. The geographical market of grocery retail is usually limited from the perspective of demand to an area where stores can be easily reached by consumers (a radius of approximately 20 to 30 minutes of travel time). However, the geographical market can also be larger, especially when different local areas are interconnected in such a way that they create overlapping circles. </w:t>
        <w:br/>
        <w:t xml:space="preserve">28. In the case of REWE/Meinl, the Commission concluded that the grocery retail market encompasses all of Austria and is therefore to be defined nationally. The Commission argued that there are many overlapping areas, as the stores of REWE/Meinl and those of their competitors (Spar and ADEG) cover the entire populated part of Austria. Furthermore, the Commission found in the market investigation that all competitors offer an identical or similar range of products throughout Austria, that they frequently advertise their products nationwide, and, in particular, that prices do not differ significantly in different parts of Austria. </w:t>
        <w:br/>
        <w:t xml:space="preserve">29. The market investigation in the present case confirms the market definition made in the case of REWE/Meinl. The majority of competitors stated that they set their prices uniformly for the entire company and for all of Austria; this applies in particular to SPAR and Hofer, in addition to REWE. However, advertising can be regional or local according to the results of the market investigation, particularly with regard to individual promotions. The majority of competitors responded that there are no significant regional or local differences regarding retail prices, but that these are comparable throughout Austria. Additionally, the merging parties as well as competitors Spar and Hofer are active throughout Austria; therefore, there are numerous overlaps in the shopping areas frequented by consumers that cover all of Austria. </w:t>
        <w:br/>
        <w:t xml:space="preserve">30. The Commission has therefore concluded that the grocery retail market encompasses all of Austria. </w:t>
        <w:br/>
        <w:t xml:space="preserve">2. Wholesale of Consumer Goods for Daily Use (LGH) </w:t>
        <w:br/>
        <w:t xml:space="preserve">31. The LGH includes the sale and delivery of consumer goods for daily use by manufacturers, wholesalers, or so-called cash &amp; carry markets to other resellers or large consumers, particularly hotels, gastronomy businesses, and catering kitchens. A distinction can be made regarding the type of customers (retail or large consumers) or by type of wholesale activity (cash &amp; carry/full range or specialized wholesale). However, the exact product market definition can remain open in the present case. Since REWE is currently only marginally active in the LGH in Austria, the merger does not raise competitive concerns in this area under any of the possible product market definitions. </w:t>
        <w:br/>
        <w:t xml:space="preserve">32. Geographically, REWE assumes that the LGH market is to be defined nationally. The geographical market definition does not need to be conclusively clarified in the present case, as the merger does not lead to significant impairments of competition in the LGH under any consideration. </w:t>
        <w:br/>
        <w:t xml:space="preserve">3. Procurement Markets </w:t>
        <w:br/>
        <w:t xml:space="preserve">3.1 Relevant Market </w:t>
        <w:br/>
        <w:t xml:space="preserve">33. Procurement markets include the sale of consumer goods for daily use from producers to wholesalers, retailers (particularly supermarkets), or other businesses. In previous cases, the Commission has held the view that separate procurement markets exist for different product categories to account for the fact that producers typically manufacture a single product or a single product category, and that therefore the flexibility to switch to alternative products is limited for these producers. In the REWE/Meinl decision, the Commission identified 19 product categories. In the present case, REWE has submitted information for these procurement markets. However, REWE has argued that poultry and eggs should be considered as two separate product categories, so that REWE has submitted information for a total of 20 product categories. Regarding organic products, REWE believes that there is no separate procurement market for organic products, but that these products are part of the procurement market of the respective product categories. </w:t>
        <w:br/>
        <w:t xml:space="preserve">34. In previous decisions, the Commission has also considered segmenting the procurement markets by distribution channel (grocery retail, LGH, industry, gastronomy, export). In REWE/Meinl, the Commission found indications that each of these segments could be a separate product market. This was primarily based on differences regarding packaging, logistics, and know-how between the distribution channels. REWE believes that such a subdivision is not appropriate because suppliers can and do typically serve different distribution channels. </w:t>
        <w:br/>
        <w:t>35. The market investigation in the present case has confirmed the subdivision of the procurement market according to the 20 product categories proposed by REWE based on the REWE/Meinl decision. The majority of respondents also confirmed that suppliers cannot easily switch distribution channels. With regard to organic products, the market investigation indicates that these form part of the respective procurement market. However, the exact market definition of the procurement markets can be left open in the present case, as the merger does not impede effective competition based on the alternative market definitions.</w:t>
      </w:r>
    </w:p>
    <w:p>
      <w:r>
        <w:rPr>
          <w:b/>
        </w:rPr>
        <w:t>[Pages 10–12]</w:t>
      </w:r>
    </w:p>
    <w:p>
      <w:r>
        <w:t xml:space="preserve">3.2 Geographical Market  </w:t>
        <w:br/>
        <w:t xml:space="preserve">36. In the case of REWE/Meinl, the Commission was of the opinion that the procurement markets should be defined nationally due to the preferences of Austrian consumers. In the present application, REWE points out that national consumer preferences do not necessarily lead to the conclusion of a nationally limited dimension for procurement markets. According to REWE, the switching possibilities for manufacturers and suppliers should be the main criterion. In this context, export opportunities should be particularly taken into account. Accordingly, the relevant procurement market could also be larger than national.  </w:t>
        <w:br/>
        <w:t xml:space="preserve">37. The market investigation confirms that some suppliers export significant quantities to third countries. The export rates vary significantly between the individual product categories. With regard to regional preferences, the market investigation shows that in all product groups, a large number of suppliers generally sell their products throughout Austria.  </w:t>
        <w:br/>
        <w:t xml:space="preserve">38. In any case, the exact geographical market definition of the procurement markets can be left open, as the merger project does not hinder effective competition even when applying the narrowest market definition (national).  </w:t>
        <w:br/>
        <w:t xml:space="preserve">V. COMPETITIVE ASSESSMENT  </w:t>
        <w:br/>
        <w:t xml:space="preserve">1. Retail of Consumer Goods for Daily Use  </w:t>
        <w:br/>
        <w:t xml:space="preserve">1.1 Market Structure  </w:t>
        <w:br/>
        <w:t xml:space="preserve">39. Based on the market survey by AC Nielsen, the market shares for 2007 in the Austrian grocery retail market are as follows:  </w:t>
        <w:br/>
        <w:t xml:space="preserve">Company Market Share  </w:t>
        <w:br/>
        <w:t xml:space="preserve">REWE 29.7%  </w:t>
        <w:br/>
        <w:t xml:space="preserve">SPAR 27.9%  </w:t>
        <w:br/>
        <w:t xml:space="preserve">Hofer 19.6%  </w:t>
        <w:br/>
        <w:t xml:space="preserve">ADEG 5.4%  </w:t>
        <w:br/>
        <w:t xml:space="preserve">([0-5]% ADEG, [0-5]% independent retailers)  </w:t>
        <w:br/>
        <w:t xml:space="preserve">ZEV retailers 5.1%  </w:t>
        <w:br/>
        <w:t xml:space="preserve">Zielpunkt 4.5%  </w:t>
        <w:br/>
        <w:t xml:space="preserve">Lidl 3.2%  </w:t>
        <w:br/>
        <w:t xml:space="preserve">M-Preis 2.7%  </w:t>
        <w:br/>
        <w:t xml:space="preserve">Others &lt; 2%  </w:t>
        <w:br/>
        <w:t xml:space="preserve">Total market volume EUR 15,961 million (value):  </w:t>
        <w:br/>
        <w:t xml:space="preserve">12 The AC Nielsen data includes Non Food II products.  </w:t>
        <w:br/>
        <w:t xml:space="preserve">40. The combined market share of REWE and ADEG is 35.1%. The largest competitors are SPAR (full-range retailer) and Hofer, which belongs to the German Aldi group (discounter). In addition to ADEG with a market share of approximately 5%, ZEV Markant ("Nah und Frisch" stores operated by independent retailers, such as Kienast, Wedl, Pfeiffer, and Kastner) and Zielpunkt, each with market shares of about 5%, are also active in the Austrian grocery retail market. The discounter Lidl holds a market share of approximately 3%.  </w:t>
        <w:br/>
        <w:t xml:space="preserve">41. REWE has reported that in recent months, some ADEG stores have been sold or closed to third parties. This circumstance is significant for assessing the current competitive situation. Taking into account the closures and sales, ADEG's current market share decreases from 5.4% to [0-5]%. The revised combined market share for REWE/ADEG is thus approximately [30-35]%. REWE has also estimated the market shares of the parties for a grocery retail market without Non Food II products. In such a market, REWE would have a market share of [30-35]% in 2007 and ADEG a market share of [5-10]%, leading to a combined market share of [35-40]%. Considering the closures and sales, ADEG's market share decreases to [5-10]%, resulting in a revised combined market share of [35-40]%.  </w:t>
        <w:br/>
        <w:t xml:space="preserve">42. Therefore, the combined market shares remain moderate after the merger in any case, and there are a number of significant competitors, so that the market shares alone do not give rise to competitive concerns. The Commission is also of the opinion that there is no reason to doubt the fundamental relevance of market shares for assessing the competitive situation in the Austrian grocery retail market. The Commission will separately address other factors and specifics of the competitive situation, particularly the local market strength of the merging parties.  </w:t>
        <w:br/>
        <w:t xml:space="preserve">Inclusion of independent ADEG retailers in ADEG's market share  </w:t>
        <w:br/>
        <w:t xml:space="preserve">43. REWE argues that the independent ADEG retailers should not be included in the market share calculation for ADEG. ADEG has no control over these retailers, and they are fundamentally independent in their choice of products to be sourced from the ADEG organization and in pricing. Without the independent ADEG retailers, ADEG's market share would be limited to approximately [0-5]%. The combined market share of REWE and ADEG would then be [30-35]%.  </w:t>
        <w:br/>
        <w:t xml:space="preserve">13 Without the hard discounters Hofer and Lidl, REWE's market share in 2006 is approximately 38%, while ADEG's is about 7.8%. The combined market share would then be 46.1%. Even without discounters, there are a number of competitors. Spar would be the closest competitor with a market share of 35.5%. Another competitor is the "Nah und Frisch" group of ZEV Markant (6.8%) and Zielpunkt (6%).  </w:t>
        <w:br/>
        <w:t xml:space="preserve">14 Since the Rewe/Meinl case, the market shares of REWE and SPAR have remained stable (around 29-30% for REWE and 26-28% for SPAR), while the market share of the hard discounters (Hofer and Lidl) has increased significantly (from 11.7% in 1998 to 23.8% in 2007) to the detriment of smaller supermarket chains such as ZEV Markant (from 8.4% in 1998 to 5.2% in 2007) or ADEG (from 11.3% in 1996 to 5.4% in 2007).  </w:t>
        <w:br/>
        <w:t xml:space="preserve">44. However, the Commission's investigations show that the independent retailers are bound to ADEG in such a way that they cannot be considered independent competitors of ADEG. First, it should be noted that the retailers are connected to ADEG as shareholders of the AÖGen. Furthermore, ADEG provides all ADEG retailers with price recommendations for the products sourced through ADEG wholesale. The Commission's investigations show that the vast majority of ADEG retailers follow ADEG's price guidelines for most products. This is also due to the fact that the recommended retail price is fed into the electronic cash register system, and price deviations must be made manually by the respective independent ADEG retailer.  </w:t>
        <w:br/>
        <w:t xml:space="preserve">45. In addition, many retailers have signed cooperation agreements (so-called partnership agreements or rental support contracts) with ADEG, whereby they have accepted a duty to source goods from ADEG. This also affects the pricing options of the retailers. Moreover, numerous retailers are bound to ADEG through loans or due to the fact that the business premises belong to ADEG and are rented by the retailers. According to ADEG's estimates, [20-30]% of the locations operated by independent retailers ([35-45]% in sales values) have a duty to source goods from ADEG due to a partnership agreement, rental support, or similar. In addition, there is also joint advertising, particularly as ADEG retailers regularly participate in specially promoted campaigns. ADEG estimates that about [85-95]% of the retailers participate in the implementation of the campaigns. In light of this, it seems appropriate to consider the ADEG retailers as part of the ADEG organization and to attribute their market shares to the ADEG organization. This also corresponds to the Commission's conclusions in previous decision-making practices.  </w:t>
        <w:br/>
        <w:t xml:space="preserve">Low competitive pressure from ADEG  </w:t>
        <w:br/>
        <w:t xml:space="preserve">46. In assessing the competitive situation, it should be taken into account that, as the Commission's market investigation has shown, there is only low competitive pressure from ADEG in the Austrian grocery retail market, particularly in relation to REWE. This is due to the fact that ADEG is considered a [company with a relatively high price level]. A price comparison based on a basket of goods conducted by the Chamber of Labor in Vienna showed that for December 2006 and April 2007, ADEG was the most expensive supermarket, followed by Billa and Spar. This is also confirmed by a comparison with AC Nielsen data, which includes all products from REWE, Spar, its own ADEG stores (i.e., excluding independent retailers), as well as Zielpunkt.  </w:t>
        <w:br/>
        <w:t>47. A sample that the parties conducted regarding the pricing of independent retailers largely confirms the […] prices for ADEG retailers as well. The Commission examined the provided data to determine the extent to which ADEG retailers followed the central price recommendations of the ADEG organization or deviated from them with higher prices.</w:t>
      </w:r>
    </w:p>
    <w:p>
      <w:r>
        <w:rPr>
          <w:b/>
        </w:rPr>
        <w:t>[Pages 13–15]</w:t>
      </w:r>
    </w:p>
    <w:p>
      <w:r>
        <w:t xml:space="preserve">Result, most retailers followed the recommendations or set higher prices for the overwhelming majority of the products surveyed.16  </w:t>
        <w:br/>
        <w:t xml:space="preserve">48. Against this background, it must be assumed that ADEG cannot be regarded as a "maverick" in any way. Spar also assumes in its statement that ADEG is currently to be considered as [a company with a relatively high price level]. Furthermore, based on the data submitted by Spar, it can be assumed, and Spar also argues, that prices in ADEG stores will decrease as a result of the merger but will not increase as a consequence of the merger.  </w:t>
        <w:br/>
        <w:t xml:space="preserve">49. Furthermore, it should be noted that the competitor SPAR has submitted a statistic showing that ADEG has continuously lost market share over the last 10 years, thereby nearly halving its market position.17 The financial situation of ADEG is also critical. […]  </w:t>
        <w:br/>
        <w:t xml:space="preserve">50. In addition, REWE and ADEG are not to be regarded as closest competitors. The Commission examined how REWE's sales develop when an ADEG store closes in a local market. The sales data provided by REWE concerning 21 cases in 2006 show that in the first six months after the closure of an ADEG store, sales at the nearest Billa store increased by [0-5]% compared to the six months prior to the closure of the ADEG store. This effect of ADEG closures is thus significantly lower than that of Hofer openings (see above), although Hofer, as a discounter, exerts only a tendentially weaker competitive pressure on full-range supermarkets than full-range retailers do among themselves. This indicates the limited competitive pressure that ADEG has so far exerted on REWE.  </w:t>
        <w:br/>
        <w:t xml:space="preserve">51. Furthermore, with the exception of the Magnet markets, ADEG stores are mostly convenience stores or supermarkets that are often located in rural areas. In contrast, MERKUR and PENNY stores are consumer markets or discount stores. Although BILLA stores are also supermarkets that have a comparable size to ADEG supermarkets, the Commission has examined the geographical distribution of BILLA and ADEG sales outlets based on sales area. This analysis shows that ADEG convenience stores with a sales area of less than 300 m² ([…]% of ADEG retail sales) are located in rural districts and therefore hardly compete with the mostly urban BILLA convenience stores ([…]% of BILLA sales).  </w:t>
        <w:br/>
        <w:t xml:space="preserve">16 According to the results of this sample, [Majority]% of retailers followed the recommendation or set higher prices for [Majority]% of the products examined. [Majority]% exhibited such pricing behavior for at least [Majority]% of the products examined.  </w:t>
        <w:br/>
        <w:t xml:space="preserve">17 ADEG's market share was 11.3% in 1996 and is only 5.4% in 2007 (ACNielsen data).  </w:t>
        <w:br/>
        <w:t xml:space="preserve">18 For larger stores, ADEG and BILLA compete in almost all Austrian districts.  </w:t>
        <w:br/>
        <w:t xml:space="preserve">52. Against this background, the Commission finds that ADEG exerts only limited competitive pressure on the Austrian retail market in general and on REWE in particular. Regarding price setting in ADEG stores, a decrease in prices as a result of the merger also seems plausible. The Commission will address a possible increase in the price level in the Austrian retail market as a whole below.  </w:t>
        <w:br/>
        <w:t xml:space="preserve">Purchasing Power  </w:t>
        <w:br/>
        <w:t xml:space="preserve">53. The merger will lead to a higher purchasing volume on the part of REWE. Spar predicts a resulting purchasing advantage of up to 3%. This forecast made by Spar is based on empirical values. However, the Commission's market investigation has shown that REWE already has significant purchasing power and that the merger with ADEG will not bring about a relevant strengthening (see in detail below under 3.).  </w:t>
        <w:br/>
        <w:t xml:space="preserve">1.2 Assessment  </w:t>
        <w:br/>
        <w:t xml:space="preserve">54. The merger leads to moderate market shares in the retail market. The combined market share of REWE and ADEG is approximately [30-35]%; ADEG contributes only [0-5]% to the combined market share. The full-range chain Spar is the largest competitor with market shares of approximately 28%, and REWE and Spar are exposed to competition from the discounter Hofer. Hofer not only has a significant market share of 19% but has also consistently gained market shares in recent years.19  </w:t>
        <w:br/>
        <w:t xml:space="preserve">55. The market investigation shows that the elimination of ADEG only changes the competitive situation to a limited extent. The market investigation indicates that ADEG does not exert a particularly high competitive pressure on its competitors. This is partly due to the fact that ADEG is regarded as [a company with a relatively high price level]. Even SPAR expects that ADEG's prices will move downward after the merger.  </w:t>
        <w:br/>
        <w:t xml:space="preserve">56. During the market investigation, strong concerns were expressed by the main competitor Spar against the merger project. On the one hand, Spar fears that a significant improvement in purchasing conditions on the part of REWE could lead to a displacement effect.  </w:t>
        <w:br/>
        <w:t xml:space="preserve">57. As presented regarding purchasing power, it is unlikely that REWE could successfully implement a displacement strategy as a result of the merger. The increase that REWE experiences through ADEG is limited. Moreover, there have always been significant size differences between competitors in the Austrian retail market, which show that companies of different sizes and with correspondingly different purchasing volumes can coexist. No competitor indicated in the market investigation that its exit from the market was threatened by the merger – only the second-largest company in the market, SPAR, expressed concerns in this regard.  </w:t>
        <w:br/>
        <w:t xml:space="preserve">58. A study commissioned by SPAR deals with the effects of the merger between REWE and ADEG. The study includes investigations of two types. On the one hand, various merger simulations are conducted using existing data, which generate forecasts about the price changes resulting from the merger in the Austrian retail market. The simulations take into account possible cost advantages in purchasing that may arise from the merger. On the other hand, a local analysis examines the influence of local competitive intensity on prices and product assortments.20  </w:t>
        <w:br/>
        <w:t xml:space="preserve">59. As a result, the study, depending on the model used, comes to a price increase in the overall market of 0.37% - 1.32%.21  </w:t>
        <w:br/>
        <w:t xml:space="preserve">60. The indicated price effect is very limited. Furthermore, the Commission believes that the study has questionable validity for the following reasons. In assessing the merger simulations, it must be taken into account that simple simulations such as the ALM and PCAIDS used are based on partly extreme simplifications in order to make a prediction despite minimal data availability. Moreover, it must be considered that the simulation models used were all developed for national markets where discrete purchasing decisions are made (for example, the purchase of a car). In the present case, where customers typically do not purchase identical baskets of goods from local providers and also sometimes visit multiple providers simultaneously, additional distortions of the results may arise. The forecasts made on the cost side by the models show a significant deviation from values considered realistic. For example, the models predict a marginal cost difference between REWE and ADEG of more than 20%, while SPAR itself estimates the actual difference at only 5%. Such an inaccurate forecast on the cost side suggests that the price forecast on the sales side could also be quite imprecise. The only model that assumes the cost difference considered realistic by SPAR (Nested ALM) predicts a price increase of 0.4 to 0.5%.  </w:t>
        <w:br/>
        <w:t xml:space="preserve">61. The second part of the study conducts a local analysis, examining the influence of local competitive pressure on prices and product assortments at the district level. The study initially argues that local prices are not dependent on which providers are represented locally. This is justified by the fact that pricing generally occurs nationally and does not respond locally to local conditions. In the next step, it examines how private labels adjust their product assortments to local competition. The main result of this part of the study is that Billa (REWE) does not respond to the local competitive pressure.  </w:t>
        <w:br/>
        <w:t xml:space="preserve">20 The Chief Economist Team of the DG Competition has conducted a thorough evaluation of the study. The main findings are summarized below.  </w:t>
        <w:br/>
        <w:t>21 These are the forecasted price changes assuming that REWE passes on its condition advantages to ADEG, which is profit-maximizing for the merged company.</w:t>
      </w:r>
    </w:p>
    <w:p>
      <w:r>
        <w:rPr>
          <w:b/>
        </w:rPr>
        <w:t>[Pages 16–18]</w:t>
      </w:r>
    </w:p>
    <w:p>
      <w:r>
        <w:t>Presence of ADEG responded. An average increase in the share of private labels occurs only with the local presence of SPAR, but not with the local presence of ADEG. It must be noted that (regardless of the specific cause of the lack of local reactions) this part of the study suggests that the merger will not lead to unilateral effects, as REWE apparently does not currently respond to the presence or absence of ADEG. The second part of the study therefore contradicts the first part, which assumes a strong interdependence between REWE and ADEG. Thus, the second part of the study does not provide reliable evidence that the merger would result in a significant reduction of competitive pressure.</w:t>
      </w:r>
    </w:p>
    <w:p>
      <w:r>
        <w:t>62. Notwithstanding this, the Commission further investigated to what extent the exit of ADEG could lead to negative effects on the overall Austrian market. As stated above, competition interaction and particularly pricing in Austria occurs at the national level. However, it must be taken into account that consumers only use grocery stores within a relatively short distance for shopping. It is therefore to be assumed that the pricing of grocery companies at the national level also considers the competitive situation at the local level and simultaneously aggregates into the national competitive landscape. To capture this circumstance and the corresponding effects of the merger, the Commission examined the market position of the parties at the local level and determined to what extent there are local enhancements of this position due to the merger, such that a negative impact at the national level can be expected.</w:t>
      </w:r>
    </w:p>
    <w:p>
      <w:r>
        <w:t>63. For the individual local markets in Austria, no independent data source is available. The Commission therefore examined the market position of the parties in the 121 Austrian political districts to enable an assessment of regional presence. It could be argued that the 121 districts may represent an approximation of local competitive relationships. However, it must be considered that the examination of the Austrian districts does not serve to delineate the market but rather to assess whether the enhanced presence of the merging parties in certain areas is a factor that should be considered alongside the market share analysis related to Austria. Against this background, the Commission considers the use of data at the district level to be appropriate.</w:t>
      </w:r>
    </w:p>
    <w:p>
      <w:r>
        <w:t>64. The Commission investigated in which districts the revenue increase for REWE after the merger is approximately equal to or greater than at the national level or areas where REWE is already particularly strong and where there is indeed an increase in revenue as a result of the merger, as it is to be assumed that when these criteria are met, an influence of regional strength on REWE's national pricing cannot be ruled out. The investigation accordingly initially identified those districts (hereinafter referred to as "critical districts") that meet one of the following criteria:</w:t>
        <w:br/>
        <w:t>(i) the combined revenue share exceeds 50% with an increase in revenue as a result of the merger, or</w:t>
        <w:br/>
        <w:t>(ii) the combined revenue share is between 30% and 50% with an increase in revenue of at least 5%.</w:t>
      </w:r>
    </w:p>
    <w:p>
      <w:r>
        <w:t>65. However, the market investigation and the responses to the market test of the proposed commitments have shown that this initially applied filter needs to be adjusted to effectively capture the competitively problematic cases; in the market test, some market participants expressed concerns that the applied filter would not capture some potentially critical cases, such as in the extreme case a combined revenue share of 49.9%, based on an increase of 4.9%. To address these concerns, the filter was subsequently modified so that a district with such a combined revenue share of the parties is identified as critical as soon as there is an increase in share of any amount. The aforementioned threshold of 50% was therefore lowered to 45%.</w:t>
      </w:r>
    </w:p>
    <w:p>
      <w:r>
        <w:t>66. At the same time, it has been shown that the initially applied filter with 30% as a lower limit was set too low. This results from the findings of the market investigation, which did not reveal any immediate competitive concerns arising from this market share at a national market share of 35% in the present case. The Commission's concerns arise rather from the aggregation of regions where a significantly disproportionate concentration effect occurs, which could give REWE as a whole an incentive for a nationwide price increase.</w:t>
      </w:r>
    </w:p>
    <w:p>
      <w:r>
        <w:t>67. On this basis, the Commission therefore considers the following filter for determining critical districts to be appropriate:</w:t>
        <w:br/>
        <w:t>(i) the combined revenue share exceeds 45% with an increase in revenue as a result of the merger, or</w:t>
        <w:br/>
        <w:t>(ii) the combined revenue share is between 35% and 45% and there is an overlap of at least 5%.</w:t>
      </w:r>
    </w:p>
    <w:p>
      <w:r>
        <w:t>68. The Commission believes that this filter for identifying critical districts is appropriate. The Commission considers the lower value of 35% to be sufficiently low to exclude competitive concerns in the present case when viewed typologically. Given the aspects mentioned above that argue against competitive concerns arising from the merger and a price effect at the national level, it seems unlikely that a region could contribute disproportionately to REWE's national market position in Austria if the resulting revenue share of the parties is below this threshold.</w:t>
      </w:r>
    </w:p>
    <w:p>
      <w:r>
        <w:t>69. The criterion of a revenue increase of 5% in the range between 35% and 45% is justified to exclude minor revenue increases due to the merger from consideration. While it cannot generally be assumed that market share increases below 5% are unproblematic from a competitive perspective, this is justified in the present case, as there is only limited competitive pressure from ADEG on REWE. […] It cannot therefore be assumed that a lower increase in the present case could have an effect that would lead to noticeable price effects at the national level.</w:t>
      </w:r>
    </w:p>
    <w:p>
      <w:r>
        <w:t>70. On this basis, the Commission identified 24 critical districts. These 24 districts account for approximately […]% of REWE's grocery revenue in Austria and correspond to a population share of approximately 20%.</w:t>
      </w:r>
    </w:p>
    <w:p>
      <w:r>
        <w:t>71. Since the merging parties have high revenue shares in the critical districts with a significant population share or there is a proportionally stronger increase in these areas as a result of the merger than at the national level, this is likely to have an impact on national pricing, resulting in an overall increase in the price level.</w:t>
      </w:r>
    </w:p>
    <w:p>
      <w:r>
        <w:t>72. Based on the unilateral effects presented, the Commission has therefore concluded that the merger raises serious concerns regarding a significant impediment to effective competition in the Austrian grocery market.</w:t>
      </w:r>
    </w:p>
    <w:p>
      <w:r>
        <w:t>1.3 Coordinated Effects</w:t>
      </w:r>
    </w:p>
    <w:p>
      <w:r>
        <w:t>73. The Commission's investigations have not led to any sustainable indications of coordinated effects from the merger. In the Austrian grocery market, there is a high level of transparency regarding the pricing of various market participants. AC Nielsen publishes detailed price information for a very high number of products on a monthly basis. However, the merger does not change this price transparency. The market investigation did not reveal any indications that ADEG played such a relevant role in the grocery market that its disappearance as a competitor would significantly facilitate potential coordination between the two market leaders REWE and SPAR. Furthermore, the merger leads to an increased asymmetry in the market shares of REWE and SPAR and is therefore likely to reduce the incentive for possible coordination. Consequently, the Commission does not expect coordinated effects as a result of the merger.</w:t>
      </w:r>
    </w:p>
    <w:p>
      <w:r>
        <w:rPr>
          <w:b/>
        </w:rPr>
        <w:t>[Pages 19–21]</w:t>
      </w:r>
    </w:p>
    <w:p>
      <w:r>
        <w:t>1.4 Result</w:t>
        <w:br/>
        <w:t>74. This leads to the conclusion that the merger project raises serious concerns regarding its compatibility with the common market for grocery retail in Austria.</w:t>
      </w:r>
    </w:p>
    <w:p>
      <w:r>
        <w:t>1.5 Commitments</w:t>
        <w:br/>
        <w:t>75. In light of the serious concerns outlined, the parties have offered commitments.</w:t>
      </w:r>
    </w:p>
    <w:p>
      <w:r>
        <w:t>Content of the Commitments</w:t>
        <w:br/>
        <w:t>76. Accordingly, REWE commits to sell all ADEG operational businesses (i.e., the businesses owned by ADEG) located in the critical districts to one or more independent buyers.</w:t>
        <w:br/>
        <w:t>77. Furthermore, REWE commits to ensure that the independent ADEG retailers based in the affected districts have the unrestricted opportunity to switch to another grocery wholesaler. This commitment is considered fulfilled if (i) the respective ADEG retailer does not have to observe a notice period exceeding three months before switching to another grocery wholesaler due to any existing contractual agreements with ADEG; and (ii) the respective ADEG retailer does not have to make any financial payments to ADEG upon termination of their business relationship that exceed € 50,000.</w:t>
        <w:br/>
        <w:t>78. In the event that an ADEG retailer operates their business on a property leased from ADEG and wishes to terminate their business relationship with ADEG, REWE will ensure that the ADEG retailer is offered a lease for the necessary operational properties/business premises with a minimum duration of 5 years at market conditions.</w:t>
        <w:br/>
        <w:t>79. Furthermore, REWE commits to make all reasonable efforts to ensure that a sufficient number of ADEG retailers in the critical districts actually exit the ADEG organization for a period of [5-10] years, so that the critical market share or growth thresholds are avoided. However, REWE is not obliged to terminate existing business relationships with independent ADEG retailers even if this contradicts the wishes of those retailers.</w:t>
        <w:br/>
        <w:t>80. The competitive problems in a critical district are considered sufficiently resolved if</w:t>
        <w:br/>
        <w:t>• either the combined market share of REWE and ADEG after the merger is less than 35%; or</w:t>
        <w:br/>
        <w:t>• the combined market share of REWE and ADEG after the merger is between 35% and 45% and the sales increase is less than 5%; or</w:t>
        <w:br/>
        <w:t>• the merger does not lead to any sales increase in the respective district.</w:t>
        <w:br/>
        <w:t>81. Should REWE fail to persuade the necessary number of ADEG retailers to leave the ADEG organization in one or more affected districts in a timely manner, REWE will instead sell its own stores (BILLA, MERKUR, or PENNY) to the required extent (so-called crown jewel arrangement). For each ADEG retailer whose exit from the ADEG organization would have been necessary to resolve the competitive issues, REWE will sell its own stores with an aggregated turnover of at least 65% of the aggregated retail turnover of the affected ADEG retailers in 2007 ("crown jewel solution").</w:t>
      </w:r>
    </w:p>
    <w:p>
      <w:r>
        <w:t>Assessment of the Commitments</w:t>
        <w:br/>
        <w:t>82. The commitments proposed by the parties are suitable to eliminate the serious concerns regarding the compatibility of the merger project with the common market for retail of consumer goods of daily use.</w:t>
        <w:br/>
        <w:t>83. As a result of the commitments, REWE commits to sell ADEG operational businesses in a total of 24 critical districts with an aggregated turnover of € […] million. In addition, REWE commits to ensure that either independent ADEG retailers with a total turnover of € […] million leave the ADEG organization, or that its own REWE stores with a turnover of € […] million are sold.</w:t>
        <w:br/>
        <w:t>84. The commitments reduce the enhanced presence of REWE/ADEG in individual districts in a manner that excludes the possibility that high market shares in individual districts will influence pricing at the national level and could lead to price increases. Even if, as a result of the Commission's typical assessment, there should occasionally be a strong presence of REWE, the commitments ensure that this is not to an extent that could influence the national price level.</w:t>
        <w:br/>
        <w:t>85. In the market test of the commitments, the majority of respondents (competitors and suppliers) believe that the commitments are sufficient to eliminate potential competition law concerns. A number of competitors have also expressed a fundamental interest in acquiring the stores. Wholesalers are also willing to supply the stores.</w:t>
        <w:br/>
        <w:t>86. However, the market test frequently pointed out that the originally applied threshold of 50% for determining critical districts was set too high to capture all potentially critical districts. At the same time, it should be noted that with the turnover threshold of 30%, districts were captured on the basis of which no significant impairment of effective competition by REWE is to be expected. The Commission has taken this criticism into account and has prepared a calculation based on modified thresholds (as explained above) in the districts. REWE has adjusted the commitments accordingly.</w:t>
        <w:br/>
        <w:t>87. The market test also pointed out an error in the calculation of the market sizes of the critical districts, which led to an underestimation of the market shares of the parties in these districts. REWE has acknowledged this calculation error and corrected the figures accordingly.</w:t>
        <w:br/>
        <w:t>88. The adjustment of the thresholds and the correction of the calculation error have resulted in an overall increase in the number of critical districts from 21 to 24 and an increase in the sales to be divested for the ADEG operational businesses as well as for the ADEG retailers and the REWE stores ("crown jewels").</w:t>
        <w:br/>
        <w:t>89. In addition to a general reduction of the position of REWE/ADEG, the commitments thereby eliminate all relevant competitive concerns at the local level. Against this background, the Commission has concluded that the commitments resolve the competitive issues in the Austrian grocery retail market.</w:t>
      </w:r>
    </w:p>
    <w:p>
      <w:r>
        <w:t>2. Wholesale of Consumer Goods of Daily Use (LGH)</w:t>
        <w:br/>
        <w:t>90. The merger does not raise any competitive concerns in the area of LGH. REWE is currently only marginally active in the LGH in Austria. REWE's market share is approximately [0-5]%. The estimated market share of ADEG is [0-5]%. Due to the low market share of the parties, hindrances to competition in this area are excluded.</w:t>
      </w:r>
    </w:p>
    <w:p>
      <w:r>
        <w:t>3. Procurement of Consumer Goods of Daily Use</w:t>
        <w:br/>
        <w:t>3.1 Market Structure and Demand Power</w:t>
        <w:br/>
        <w:t>91. REWE holds the following market shares in the procurement markets:</w:t>
      </w:r>
    </w:p>
    <w:p>
      <w:r>
        <w:rPr>
          <w:b/>
        </w:rPr>
        <w:t>[Pages 22–24]</w:t>
      </w:r>
    </w:p>
    <w:p>
      <w:r>
        <w:t>Market shares for all distribution channels Market shares excluding by value Industry, Catering, and Export</w:t>
        <w:br/>
        <w:t>Joint Market REWE ADEG Jointly</w:t>
        <w:br/>
        <w:t>Meat &amp; Sausage [10-15]% [0-5]% [15-20]% [20-25]% [5-10]% [25-30]%</w:t>
        <w:br/>
        <w:t>Poultry [50-55]% [10-15]% [15-20]% [20-25]% [0-5]% [25-30]%</w:t>
        <w:br/>
        <w:t>Eggs [15-20]% [0-5]% [15-20]% [15-20]% [0-5]% [15-20]%</w:t>
        <w:br/>
        <w:t>Bread &amp; Pastries [10-15]% [0-5]% [15-20]% [20-25]% [5-10]% [25-30]%</w:t>
        <w:br/>
        <w:t>Dairy Products [15-20]% [0-5]% [20-25]% [25-30]% [5-10]% [30-35]%</w:t>
        <w:br/>
        <w:t>Fresh Fruits &amp; Vegetables [15-20]% [0-5]% [20-25]% [25-30]% [5-10]% [30-35]%</w:t>
        <w:br/>
        <w:t>Beer [15-20]% [0-5]% [20-25]% [25-30]% [5-10]% [35-40]%</w:t>
        <w:br/>
        <w:t>Wines &amp; Spirits [40-45]% [5-10]% [5-10]% [15-20]% [0-5]% [15-20]%</w:t>
        <w:br/>
        <w:t>Non-Alcoholic Beverages [10-15]% [0-5]% [15-20]% [25-30]% [5-10]% [30-35]%</w:t>
        <w:br/>
        <w:t>Hot Beverages [15-20]% [0-5]% [20-25]% [20-25]% [5-10]% [25-30]%</w:t>
        <w:br/>
        <w:t>Confectionery [10-15]% [0-5]% [10-15]% Na Na Na</w:t>
        <w:br/>
        <w:t>Staple Foods [5-10]% [0-5]% [5-10]% Na Na Na</w:t>
        <w:br/>
        <w:t>Canned Goods [5-10]% [0-5]% [5-10]% Na Na Na</w:t>
        <w:br/>
        <w:t>Frozen Foods Na Na Na Na Na Na</w:t>
        <w:br/>
        <w:t>Baby Food Na Na Na Na Na Na</w:t>
        <w:br/>
        <w:t>Pet Food [15-20]% [0-5]% [20-25]% [25-30]% [0-5]% [25-30]%</w:t>
        <w:br/>
        <w:t>Personal Care Products and Cosmetics [10-15]% [0-5]% [15-20]% [15-20]% [0-5]% [20-25]%</w:t>
        <w:br/>
        <w:t>Washing, Cleaning, and Detergents [15-20]% [0-5]% [15-20]% [30-35]% [0-5]% [35-40]%</w:t>
        <w:br/>
        <w:t>Other Drugstore Products [10-15]% [0-5]% [10-15]% Na Na Na</w:t>
        <w:br/>
        <w:t>Other supermarket-typical non-food products [5-10]% [0-5]% [10-15]% Na Na Na</w:t>
        <w:br/>
        <w:t>Weighted [15-20]% [0-5]% [15-20]% Na Na Na</w:t>
        <w:br/>
        <w:t>The figures for the procurement markets excluding Industry, Catering, and Export were calculated only for the procurement markets with market shares higher than 15% for all distribution channels. For poultry, wines, and spirits, the stated market shares are based on volume. The revenue values calculated by the parties are significantly higher: the combined market share would be [60-65]% for poultry and [50-55]% for wines/spirits. Given that there is no indication that the parties' businesses particularly focus on these products, the revenue values seem to lead to significantly exaggerated positions resulting from the estimation methodology applied by the parties, and the volume estimates appear to reflect the parties' situation more accurately. For frozen foods and baby food, REWE states that it cannot estimate the size of these procurement markets. Initially, there is no indication that the market shares in these product groups deviate significantly from those in other segments and the average. The parties further argue that in both segments, Austrian manufacturers play virtually no role. The segments are essentially served by a few international brand manufacturers. For example, REWE sources 67.5% of its frozen food purchases from the international brand manufacturers Iglo (Netherlands), Unilever, Dr. Oetker (Germany), and Wagner (Germany). Similarly, REWE sources 97.1% of its baby food purchases from the international brand manufacturers Malupa/Danone (France), Hipp (Germany), and Nestle (Switzerland). In the market investigation, suppliers in these product groups also expressed no particular concerns.</w:t>
      </w:r>
    </w:p>
    <w:p>
      <w:r>
        <w:t>Average</w:t>
        <w:br/>
        <w:t>92. Based on a market definition encompassing all distribution channels, the merged entity REWE/Adeg (including BIPA purchases) achieves procurement market shares of over 15% at the national level in 13 out of 19 procurement markets. In these 13 procurement markets, ADEG's market share is only 5% or more in two procurement markets, namely poultry and wine/alcoholic beverages.</w:t>
        <w:br/>
        <w:t>93. The REWE/Meinl decision cites a market share threshold of 22% at which a customer becomes indispensable for a supplier. In four procurement markets, the share of REWE/Adeg is 22% or more, namely poultry, dairy products, beer, and wine and alcoholic beverages.</w:t>
        <w:br/>
        <w:t>94. The market investigation has confirmed that REWE, thanks to these market shares, has purchasing power in various procurement markets. However, the majority of responding suppliers indicated in the market investigation that REWE was already able to act independently of its suppliers due to its purchasing power before the merger. Furthermore, the vast majority of suppliers showed no concern regarding the impact of the merger on the various procurement markets. This is particularly true for the companies whose addresses the Commission received from competitors of the merging parties.</w:t>
        <w:br/>
        <w:t>95. Moreover, it should be noted that even those who are skeptical about the merger do not expect that prices in the end consumer market could rise. Most respondents expect an increase in competition in the downstream market as a result of the better purchasing conditions that REWE is likely to achieve after the merger. This is confirmed by an econometric study by the competitor Spar, which indicates that purchasing power has a positive effect on prices in the retail markets, i.e., that the merged entity will have an incentive to raise its prices to a lesser extent due to the improved purchasing conditions.</w:t>
      </w:r>
    </w:p>
    <w:p>
      <w:r>
        <w:t>3.2 Assessment</w:t>
        <w:br/>
        <w:t>96. Purchasing power is not per se to be regarded as anti-competitive: if effective competition prevails in the downstream market, market-strong buyers are compelled to pass on the improvement of their purchasing conditions to the end consumer. Conversely, if the market on the selling side is concentrated, purchasing power can be anti-competitive and reinforce market power in the downstream market. Concerns in the retail and procurement markets are therefore intertwined.</w:t>
        <w:br/>
        <w:t>97. In the present case, the competitive concerns in the downstream grocery retail market are alleviated by the commitments made by REWE. Therefore, it is not expected that competitive problems will arise in the procurement markets that would disadvantage end customers.</w:t>
      </w:r>
    </w:p>
    <w:p>
      <w:r>
        <w:t>98. Paragraph 61 of the horizontal merger guidelines states regarding purchasing power:</w:t>
        <w:br/>
        <w:t>The Commission also examines the extent to which a merged company can enhance its purchasing power in upstream markets. On the one hand, a merger can significantly impede effective competition, particularly through the creation or strengthening of a dominant position, if it establishes or enhances a buyer's market power. The merged entity could indeed be able to achieve lower prices by reducing its payments to suppliers. It might then feel compelled to reduce its production in the market for end products, thereby harming consumer welfare. Such effects can particularly arise if the upstream suppliers are relatively fragmented. Competition in the downstream markets could also be impaired if the merged entity exercises its purchasing power over its suppliers to shut out competitors.</w:t>
        <w:br/>
        <w:t>99. The merger guidelines therefore consider two different theories regarding purchasing power: Output restriction and Preclusion/Price dumping. Both theories can ultimately lead to a restriction of competition in the downstream market based on purchasing power.</w:t>
      </w:r>
    </w:p>
    <w:p>
      <w:r>
        <w:t>Output restriction</w:t>
        <w:br/>
        <w:t>100. According to the first theory, the merged entity would exert pressure on its suppliers to reduce purchase prices. These suppliers would not be able to avert this and would instead supply lower quantities to the merged entity. The merged entity would then offer lower quantities in the downstream market, which could lead to a price increase there. This would essentially correspond to a non-coordinated effect. However, this non-coordinated effect would not directly result from the fact that the merged entity would lose a lower number of customers in the event of a price increase, as some of them would switch to the merged entity. It would result from the lower costs that would increase the profit margin and allow for a new point of profit maximization at lower quantities and increased prices in the downstream market.</w:t>
        <w:br/>
        <w:t>101. However, this effect does not occur if customers have sufficient ability to switch to other grocery retail markets, as the merged entity would lose customers. If sufficient alternative supermarkets remain that can supply additional customers, this also means that suppliers can sell more to these alternative supermarkets, and it is to be expected that the total quantity in the market remains identical.</w:t>
        <w:br/>
        <w:t>102. The market investigation among suppliers confirmed that the merged entity of REWE and ADEG would not be able to obtain better purchasing conditions by reducing the quantity purchased. In fact, the overwhelming majority of suppliers indicated that they would reject the price discount. These suppliers would then either sell the same quantity for the previous price or reduce their output. But the merged company</w:t>
      </w:r>
    </w:p>
    <w:p>
      <w:r>
        <w:rPr>
          <w:b/>
        </w:rPr>
        <w:t>[Pages 25–27]</w:t>
      </w:r>
    </w:p>
    <w:p>
      <w:r>
        <w:t>has no incentive to purchase a reduced quantity at the previous price, so it would abandon its output restriction strategy. Preclusion/Price Dumping: 103. According to the second theory, increased purchasing power can lead to better conditions for the merged entity, which would then be able to undercut its competitors. If competitors are thereby driven out of the market, a price increase could occur. In this so-called "waterbed effect," suppliers attempt to compensate for the better purchasing conditions of the stronger buyer, here REWE/ADEG, by increasing prices for the smaller buyers. 104. Several arguments speak against such a result in the present case: First, ADEG only strengthens REWE's market power to a limited extent. Furthermore, REWE only has particularly high shares in some procurement markets. It is unlikely that the prices that could theoretically be lowered due to the merger would create significant advantages compared to REWE's competitors. 105. While some respondents in the market test indicated that the intensity of competition is likely to increase after the merger, no market exits were predicted for the foreseeable future. Only one company, Spar, feared long-term relative differences in conditions that could ultimately lead to the possibility of market exit. The vast majority of respondents ruled out the possibility of a "waterbed effect." 106. Consequently, it must be stated that the merger will not lead to competition law concerns in the downstream retail market due to increased market power in the procurement markets. 3.3 Result 107. Regarding the procurement markets, the merger project does not give rise to serious concerns about its compatibility with the common market. VI. CONCLUSIONS 108. For the reasons set out, the Commission finds that the commitments proposed by the notifier are sufficient to eliminate the significant competition law concerns of the Commission regarding effective competition. The merger project will not significantly impede effective competition in the Common Market or a substantial part of the EEA. 109. To ensure compliance with the commitments by the parties, the Commission attaches conditions and obligations to this decision. The commitments in Sections B and D (excluding paragraph 32) constitute conditions of this decision, as only their full implementation can achieve the necessary changes to eliminate the serious concerns of the Commission in the affected market. The remaining commitments constitute obligations as they relate to the implementation measures required to fulfill the necessary steps. 110. The Commission has therefore decided to declare the merger compatible, subject to the full implementation of Sections B and D (excluding paragraph 32) of the commitments submitted by REWE in accordance with Article 6(1)(b) in conjunction with Article 6(2) of the EC Merger Regulation and in accordance with Article 57 of the EEA Agreement with the Common Market and the EEA Agreement. For the Commission (signed) Neelie KROES Member of the Commission 19.06.2008 BY EMAIL AND FAX IN ADVANCE DELIVERED European Commission Directorate-General Competition Merger Registry Rue Joseph II 70 B-1000 Brussels +32 2 2964301 Case No. COMP/M.5047 REWE / ADEG COMMITMENTS TO THE EUROPEAN COMMISSION Pursuant to Article 6(2) of Council Regulation No. 139/2004 of January 20, 2004 on the control of concentrations between undertakings as amended (hereinafter "EC Merger Regulation"), BILLA Aktiengesellschaft (hereinafter "BILLA") hereby commits to the measures described below (hereinafter "the commitments"). The aim of the commitments is to enable the European Commission (hereinafter "the Commission") to make a decision in accordance with Article 6(1)(b) of the EC Merger Regulation that the intended acquisition of sole control of BILLA over ADEG Österreich Handelsaktiengesellschaft (hereinafter "ADEG") is compatible with the Common Market. The commitments will take effect simultaneously with the Commission's decision pursuant to Article 6(1)(b) of the EC Merger Regulation (hereinafter "the decision"). The following text is to be interpreted in light of the decision (if the Commission imposes the commitments in the decision as conditions and/or obligations), as well as in light of the general framework of Community law, particularly in light of the EC Merger Regulation. Section A Definitions For the purposes of these commitments, the terms listed below are defined as follows: Assignment Period: The assignment period ends on the last day of the […]. calendar month after the effectiveness of the commitment. ADEG Organization: The ADEG Organization includes ADEG, the companies controlled by ADEG within the meaning of Article 3 of the EC Merger Regulation, as well as the independent ADEG retailers. ADEG Managed Operations: Retail outlets that are owned by ADEG or a company controlled by ADEG within the meaning of Article 3 of the EC Merger Regulation. Exit Period: The exit period ends on the last day of the […]. calendar month after the effectiveness of the commitment.</w:t>
      </w:r>
    </w:p>
    <w:p>
      <w:r>
        <w:rPr>
          <w:b/>
        </w:rPr>
        <w:t>[Pages 28–30]</w:t>
      </w:r>
    </w:p>
    <w:p>
      <w:r>
        <w:t xml:space="preserve">Affected districts: The Austrian administrative districts listed in Annex 1 (or district associations)  </w:t>
        <w:br/>
        <w:t xml:space="preserve">Date of entry into force: Date of issuance of the decision.  </w:t>
        <w:br/>
        <w:t xml:space="preserve">First divestiture period: Period of […] months from the date of entry into force.  </w:t>
        <w:br/>
        <w:t xml:space="preserve">Crown jewels: Those branches of BILLA and/or the companies affiliated with BILLA that are to be divested in accordance with Section C of these commitments.  </w:t>
        <w:br/>
        <w:t xml:space="preserve">Independent ADEG retailers: Retail businesses that operate under the business name "ADEG" and sourced consumer goods for daily use from ADEG in 2007. ADEG Zell am See is considered an independent ADEG retailer, whereas ADEG Wolfsberg is not.  </w:t>
        <w:br/>
        <w:t xml:space="preserve">Trustee: Monitoring trustee and divestiture trustee.  </w:t>
        <w:br/>
        <w:t xml:space="preserve">Monitoring trustee: One or more natural or legal persons independent of BILLA, approved by the Commission and appointed by BILLA, tasked with monitoring compliance with the conditions and obligations attached to the decision by BILLA.  </w:t>
        <w:br/>
        <w:t xml:space="preserve">Divestiture trustee: One or more natural or legal persons independent of BILLA, approved by the Commission and appointed by BILLA, who have received an exclusive trust mandate from BILLA to divest the business to be divested to a buyer without being bound by a minimum price.  </w:t>
        <w:br/>
        <w:t xml:space="preserve">Business to be divested: Retail businesses that are to be divested in accordance with these commitments.  </w:t>
        <w:br/>
        <w:t>Second divestiture period: Period of […] months after the end of the first divestiture period.</w:t>
      </w:r>
    </w:p>
    <w:p>
      <w:r>
        <w:t xml:space="preserve">Section B Divestiture Commitment Regarding ADEG Operating Businesses  </w:t>
        <w:br/>
        <w:t xml:space="preserve">1. BILLA commits to ensuring that by the end of the transfer period, all ADEG operating businesses located in an affected district are transferred as a going concern either individually or collectively to one or more buyers approved by the Commission, under contractual terms that have been previously approved by the Commission. For the purpose of carrying out the divestiture, BILLA commits to finding one or more buyers and concluding binding purchase agreements within the First Divestiture Period. Should BILLA fail to do so within the First Divestiture Period regarding all or individual ADEG operating businesses, BILLA commits to granting the divestiture trustee an exclusive mandate to divest the business to be divested in accordance with the procedure set out in point 20 within the Second Divestiture Period.  </w:t>
        <w:br/>
        <w:t xml:space="preserve">2. The ADEG operating businesses covered by the divestiture commitment according to point 1 include:  </w:t>
        <w:br/>
        <w:t xml:space="preserve">(a) all tangible assets as well as all intangible assets (including intellectual property rights) that contribute to the current operation of the respective operating business and are necessary to ensure the viability and competitiveness of the business to be divested;  </w:t>
        <w:br/>
        <w:t xml:space="preserve">(b) all governmental licenses, permits, and approvals of the business to be divested;  </w:t>
        <w:br/>
        <w:t xml:space="preserve">(c) all contracts, in particular lease and rental agreements, obligations, as well as customer orders of the business to be divested; all customer, receivable, and other records of the business to be divested; and  </w:t>
        <w:br/>
        <w:t xml:space="preserve">(d) the personnel.  </w:t>
        <w:br/>
        <w:t xml:space="preserve">3. The divestiture obligation according to point 1 excludes the ADEG operating businesses listed in Annex 2. BILLA is entitled to cease operations of such ADEG operating businesses even before the end of the transfer period.  </w:t>
        <w:br/>
        <w:t xml:space="preserve">4. The divestiture commitment is considered fulfilled if BILLA has concluded a binding transfer agreement regarding the business to be divested with the buyer(s) before the end of the transfer period, if the buyer has been approved by the Commission, and if the transfer of the respective operating business is carried out no later than three months after the approval of the buyer and the transfer conditions by the Commission.  </w:t>
        <w:br/>
        <w:t xml:space="preserve">5. To maintain the structural effect of the divestiture commitment, BILLA is prohibited for a period of [5-10] years from the date of entry into force from acquiring direct or indirect influence over the entirety or parts of the business to be divested, unless the Commission determines that the market structure in the respective district has changed to such an extent that compatibility of the merger with the common market is possible even if BILLA has influence over the respective business.  </w:t>
        <w:br/>
        <w:t xml:space="preserve">6. BILLA commits to ensuring the economic viability, marketability, and competitiveness of the business to be divested from the date of the decision until the execution of the divestiture commitment to the extent that their profitability, market, and competitiveness were given at the time of the decision. In particular, BILLA will:  </w:t>
        <w:br/>
        <w:t xml:space="preserve">(a) not take any measures on its own initiative that would have significant adverse effects on the value, personnel, or competitiveness of the business to be divested or that could change the subject and scope of the business activities, business strategy, or investment policy of the business to be divested;  </w:t>
        <w:br/>
        <w:t xml:space="preserve">(b) take all reasonable measures, including appropriate incentive systems (as far as this is in line with common industry practice), that are suitable to encourage all personnel to continue working for the business to be divested.  </w:t>
        <w:br/>
        <w:t xml:space="preserve">7. Subject to customary commercial restrictions, BILLA commits, or causes its affiliated companies to commit, not to solicit the personnel transferred with the business to be divested for a period of […] years after the respective closing.  </w:t>
        <w:br/>
        <w:t xml:space="preserve">8. To enable potential buyers to conduct appropriate due diligence, BILLA will, subject to usual confidentiality assurances and depending on the status of the divestiture process, provide potential buyers with sufficient information regarding the operating businesses affected by the divestiture commitment.  </w:t>
        <w:br/>
        <w:t xml:space="preserve">9. BILLA commits to report to the Commission and the monitoring trustee in writing about potential buyers of the business to be divested and about the progress of negotiations with such potential buyers no later than 10 days after the end of each month following the date of entry into force (or upon request of the Commission).  </w:t>
        <w:br/>
        <w:t xml:space="preserve">10. The buyer of an ADEG operating business must meet the following requirements to be approved by the Commission:  </w:t>
        <w:br/>
        <w:t xml:space="preserve">(a) the buyer must be independent of the parties;  </w:t>
        <w:br/>
        <w:t xml:space="preserve">(b) the buyer must have the necessary financial resources and expertise to ensure the maintenance and development of the respective operating business.  </w:t>
        <w:br/>
        <w:t>(c) Based on the information available to the Commission, it must not be likely that prima facie competition concerns arise, nor may there be a risk that the enforcement of the</w:t>
      </w:r>
    </w:p>
    <w:p>
      <w:r>
        <w:rPr>
          <w:b/>
        </w:rPr>
        <w:t>[Pages 31–33]</w:t>
      </w:r>
    </w:p>
    <w:p>
      <w:r>
        <w:t>the commitment to ensure the preservation and further development of the respective managed business. (c) Based on the information available to the Commission, it must not be likely that prima facie competition concerns arise, nor may there be a risk that the enforcement of the commitment will be delayed. Furthermore, it must be reasonably expected that the buyer will obtain all necessary approvals from the competent authorities for the acquisition of the business to be sold. 11. The binding purchase agreements to be concluded with the buyers of the managed businesses must be subject to the condition precedent of approval by the Commission. BILLA undertakes to submit a fully documented and reasoned proposal, including a copy of the respective binding purchase agreement, to the Commission and the monitoring trustee as soon as an agreement has been reached with the buyer of a managed business. BILLA must be able to demonstrate to the Commission that the buyer of the managed business meets the buyer conditions and that the managed business is sold in accordance with the provisions of this commitment. For the purpose of approval, the Commission checks whether the buyer of the managed business meets the buyer conditions and whether the business to be sold is sold in accordance with the provisions of this commitment. The Commission may approve the sale of the business to be sold without one or more assets or parts of the staff, taking into account the proposed buyer, provided that this does not impair the viability and competitiveness of the business to be sold after the sale. Section C. Trustee I. Appointment Procedure 12. BILLA appoints a monitoring trustee to perform the functions specified in this commitment for the monitoring trustee. If BILLA has not concluded a binding purchase agreement regarding the ADEG managed businesses one month before the end of the First Divestiture Period or if the Commission has rejected a buyer proposed by BILLA at that time or thereafter, BILLA is obliged to appoint a divestiture trustee who will perform the functions specified in this commitment for divestiture trustees. The appointment of the divestiture trustee becomes effective at the beginning of the Second Divestiture Period. 13. The trustee must be independent of BILLA, possess the necessary qualifications to perform his mandate (such as an investment bank, consultant, lawyer, or auditor), and must not be exposed to or become subject to any conflict of interest. The trustee shall be compensated in such a way that the independent and effective fulfillment of his mandate is not impaired in any way. In particular, in cases where the compensation of the divestiture trustee is linked to a success fee dependent on the final sale value of the business to be sold, the compensation shall also be linked to a divestiture during the trustee divestiture period. Proposals by BILLA 14. No later than two weeks after the date of entry into force, BILLA shall submit a list of one or more persons whom BILLA proposes to the Commission for approval as monitoring trustee. No later than one month before the end of the First Divestiture Period, BILLA shall submit a list of one or more persons whom BILLA proposes to the Commission for approval as divestiture trustee. The proposal must contain sufficient information to allow the Commission to verify whether the proposed trustee meets the requirements according to point 12. It shall include: (a) the full text of the proposed mandate, including all necessary provisions that allow the trustee to fulfill his obligations under this commitment; (b) a draft work plan outlining how the trustee intends to carry out his assigned tasks; (c) an indication of whether the proposed trustee will act as both monitoring and divestiture trustee, or whether different trustees will be proposed for these two functions. Approval or Rejection by the Commission 15. It is at the discretion of the Commission to approve or reject the proposed trustees and the proposed mandate, subject to any modifications that the Commission deems necessary for the trustee to fulfill his obligations. If the Commission approves only one person, BILLA is obliged to appoint that person or institution as trustee in accordance with the mandate approved by the Commission. If the Commission approves more than one person, it is up to BILLA to choose the trustee to be appointed from among the approved persons. The trustee must be appointed within one week after approval by the Commission in accordance with the mandate approved by the Commission. New Proposals from BILLA 16. If all proposed trustees are rejected, BILLA is obliged to propose at least two or more persons or institutions within one week after notification of the rejection in accordance with the conditions and procedures set out in points 14 and 15. Trustee appointed by the Commission 17. If all further proposed trustees are rejected by the Commission, the Commission shall appoint a trustee who will be appointed by BILLA in accordance with the mandate approved by the Commission. II. Functions of the Trustee 18. The trustee shall ensure the fulfillment of the commitment. The Commission may, on its own initiative or at the request of the trustee or BILLA, issue instructions to the trustee to ensure compliance with the conditions and obligations attached to the decision. Duties and Obligations of the Monitoring Trustee 19. The monitoring trustee shall: (i) submit a detailed work plan in his first report to the Commission, describing how he monitors compliance with the obligations and conditions attached to the decision; (ii) oversee the ongoing management of the business to be sold with regard to maintaining its continued economic viability, market position, and competitiveness, and monitor BILLA's compliance with the obligations and conditions attached to the decision; (iii) perform all other functions assigned to the monitoring trustee in accordance with the conditions and obligations attached to the decision; (iv) propose to BILLA such measures that the monitoring trustee deems necessary to ensure BILLA's compliance with the conditions and obligations attached to the decision; (v) review and assess potential buyers of managed businesses as well as the progress of the divestiture process and, depending on the stage of the divestiture process, verify whether (a) potential buyers receive sufficient information about the managed businesses and personnel, particularly by reviewing, if available, the data room documentation, the information memorandum, and the due diligence process, and (b) potential buyers are granted sufficient access to personnel; (vi) submit a written report to the Commission within 15 days after the end of each month, which is simultaneously transmitted in non-confidential form to BILLA. The report shall cover the operation and management of the business to be sold, so that the Commission can assess whether the managed businesses are being operated in a manner consistent with the commitment, the progress of the divestiture process, and the potential buyers. In addition to these reports, the monitoring trustee shall promptly report in writing to the Commission and simultaneously provide BILLA with a non-confidential copy if there is sufficient reason to believe that BILLA is not complying with its obligations under the commitment; (vii) submit a reasoned opinion to the Commission within one week of receiving the documented proposal in accordance with point 10. The subject of the reasoned opinion shall be the suitability and independence of the proposed buyers of the affected managed businesses as well as the viability of the affected managed businesses after the sale.</w:t>
      </w:r>
    </w:p>
    <w:p>
      <w:r>
        <w:rPr>
          <w:b/>
        </w:rPr>
        <w:t>[Pages 34–36]</w:t>
      </w:r>
    </w:p>
    <w:p>
      <w:r>
        <w:t>Furthermore, the reasoned opinion addresses whether the public enterprises are sold in accordance with the conditions and obligations attached to the decision, particularly, if relevant, whether the sale of the affected divestiture businesses without one or more assets or not with the entirety of the personnel affects the viability of the affected divestiture businesses after the sale, taking into account the proposed buyer.</w:t>
      </w:r>
    </w:p>
    <w:p>
      <w:r>
        <w:t>Obligations and Responsibilities of the Divestiture Trustee</w:t>
        <w:br/>
        <w:t>20. Within the Second Divestiture Period, the divestiture trustee may sell a public enterprise to a buyer without being bound to a minimum price, provided that the Commission has approved the buyer and the binding purchase agreement in accordance with the procedure set out in point 11. The divestiture trustee may include in the purchase agreement at his discretion such customary terms and conditions that he deems suitable for an expedited sale in the Second Divestiture Period. In particular, the divestiture trustee may include such customary representations, warranties, and indemnities that are necessary to carry out the divestiture. Subject to BILLA's obligation to sell the business to be divested in the Second Divestiture Period without being bound to a minimum price, the divestiture trustee shall protect the legitimate financial interests of BILLA and ADEG.</w:t>
      </w:r>
    </w:p>
    <w:p>
      <w:r>
        <w:t>21. The divestiture trustee shall submit to the Commission during the Second Divestiture Period (or upon request of the Commission) a comprehensive written report in German on a monthly basis, detailing the progress of the divestiture process. These reports shall be submitted within 15 days after the end of each month to the Commission and simultaneously sent in copy to the monitoring trustee and in non-confidential form to BILLA.</w:t>
      </w:r>
    </w:p>
    <w:p>
      <w:r>
        <w:t>III. Obligations and Responsibilities of BILLA</w:t>
        <w:br/>
        <w:t>22. BILLA undertakes that BILLA and its advisors shall provide the trustee with any support and information necessary to fulfill his duties. The trustee shall have full and comprehensive access to any business books, records, documents, all management or other personnel, all operations, business premises, and technical information of BILLA, as far as necessary to fulfill the obligation under the commitment undertaking. BILLA and the divestiture businesses further undertake to provide the trustee with copies of any documents upon request and to make one or more offices available to the trustee in their premises and to be available for meetings to provide the trustee with all information necessary to fulfill his duties.</w:t>
      </w:r>
    </w:p>
    <w:p>
      <w:r>
        <w:t>23. BILLA undertakes or causes its affiliated companies to grant the divestiture trustee a proper and comprehensive power of attorney for the execution of the divestiture or the closing as well as all measures and declarations that the divestiture trustee deems necessary or appropriate to achieve the sale and the closing, including the appointment of advisors to assist in the divestiture process. Upon request of the divestiture trustee, BILLA is obliged to ensure that the documents necessary for the execution of the divestiture and the closing are properly issued.</w:t>
      </w:r>
    </w:p>
    <w:p>
      <w:r>
        <w:t>24. BILLA undertakes to indemnify the trustee, his employees, and representatives from liability (each a "released party") and agrees that a released party shall not be liable to BILLA for liabilities arising from the fulfillment of their obligations as trustee under this commitment undertaking. Excluded from this are liabilities arising from intentional or grossly negligent acts of the trustee, his employees, representatives, or advisors.</w:t>
      </w:r>
    </w:p>
    <w:p>
      <w:r>
        <w:t>25. The trustee may appoint advisors at the expense of BILLA (particularly for the purposes of corporate financing and legal advice), subject to the approval of BILLA (such approval shall not be unreasonably withheld or delayed), if the trustee deems the appointment of such advisors necessary and appropriate for the fulfillment of his duties and obligations under the mandate, provided that fees and expenses are reasonable. Should BILLA refuse to approve the advisors, the Commission may, after hearing BILLA, appoint the advisors proposed by the trustee. Only the trustee is entitled to give instructions to the advisors. The divestiture trustee may use advisors who have advised BILLA during the divestiture period in the Second Divestiture Period, should this be deemed in the interest of a prompt divestiture by the trustee.</w:t>
      </w:r>
    </w:p>
    <w:p>
      <w:r>
        <w:t>IV. Replacement, Dismissal, and Reinstatement of the Trustee</w:t>
        <w:br/>
        <w:t>26. If the trustee does not perform his functions under the commitment undertaking or otherwise for good cause, such as due to a conflict of interest:</w:t>
        <w:br/>
        <w:t>(a) the Commission may, after hearing the trustee, instruct BILLA to replace him; or</w:t>
        <w:br/>
        <w:t>(b) BILLA may replace the trustee with the prior approval of the Commission.</w:t>
      </w:r>
    </w:p>
    <w:p>
      <w:r>
        <w:t>27. If the trustee is removed from his duties in accordance with point 25, the trustee may be required to continue performing his functions until the appointment of a new trustee, to whom the trustee must hand over all relevant information. The new trustee shall be appointed in accordance with the procedure set out in points 12-17.</w:t>
      </w:r>
    </w:p>
    <w:p>
      <w:r>
        <w:t>28. Except in the case of dismissal in accordance with point 25, the trustee may only terminate his function as trustee after he has fulfilled all obligations assigned to him and the Commission subsequently releases him from his obligations. However, the Commission may at any time require the reinstatement of the monitoring trustee if it later becomes apparent that an obligation has not been fully and properly implemented.</w:t>
      </w:r>
    </w:p>
    <w:p>
      <w:r>
        <w:t>Section D Exit of Independent ADEG Retailers from the ADEG Organization</w:t>
        <w:br/>
        <w:t>29. BILLA further undertakes to ensure that the independent ADEG retailers based in the affected districts have the unrestricted opportunity to switch to another food wholesaler. This commitment undertaking shall be deemed fulfilled if</w:t>
        <w:br/>
        <w:t>(a) the respective ADEG retailer does not have to observe a notice period prior to switching to another food wholesaler due to any existing contractual agreements with ADEG, the duration of which exceeds […] months until the end of the month;</w:t>
        <w:br/>
        <w:t>(b) the respective ADEG retailer does not have to make any financial contributions to ADEG and/or to AÖGen upon termination or restriction of his business relationship with ADEG, the value of which exceeds € 50,000.</w:t>
      </w:r>
    </w:p>
    <w:p>
      <w:r>
        <w:t>30. In the event that an ADEG retailer operates his business on a property and/or in business premises owned by ADEG (or a company affiliated with ADEG), or where ADEG (or a company affiliated with ADEG) is the main tenant, and the respective ADEG retailer wishes to terminate or restrict his business relationship with ADEG, BILLA shall ensure that the ADEG retailer is offered a lease for the operationally necessary properties/business premises with a minimum duration of […] years at market conditions. ADEG (and/or the company controlled by ADEG) is not obliged in this case to continue providing any rental support that may have been provided prior to the termination/restriction of the business relationship even after the termination date.</w:t>
      </w:r>
    </w:p>
    <w:p>
      <w:r>
        <w:t>31. BILLA undertakes, beyond points 29 and 30, to ensure that by the end of the exit period, independent ADEG retailers based in the affected districts amicably leave the ADEG organization for a period of at least [5-10] years to the extent indicated in Annex 1 to these commitment undertakings (see the column "remaining competitive bottleneck factor"). BILLA will inform the monitoring trustee.</w:t>
      </w:r>
    </w:p>
    <w:p>
      <w:r>
        <w:t>The values in the column "remaining competitive bottleneck factor" in Annex 1 were determined as follows:</w:t>
        <w:br/>
        <w:t>• The aim of the commitment undertaking is to ensure that REWE and ADEG, after the merger is carried out, based on the sales values of 2007 and the local market potentials estimated by RegioPlan, do not achieve a joint market share of more than 35% in any of the critical districts (i) if the market share increase is at least 5%; or (ii) if there is a market share increase, do not achieve a market share of more than 45%.</w:t>
        <w:br/>
        <w:t>• In the column "competitive bottleneck factor," it is determined per district to what extent either (i) the joint market share after the merger is too high or (ii) the market share increase is too high (with the lower value forming the bottleneck factor).</w:t>
      </w:r>
    </w:p>
    <w:p>
      <w:r>
        <w:rPr>
          <w:b/>
        </w:rPr>
        <w:t>[Pages 37–39]</w:t>
      </w:r>
    </w:p>
    <w:p>
      <w:r>
        <w:t>immediately submit all documents necessary to prove the exit of the respective ADEG merchants. This includes, in particular, a written declaration from each relevant ADEG merchant, which confirms 1) the fact of exiting the ADEG organization, 2) the circumstance that there will be no re-entry into the ADEG organization or supply to the respective merchant for a period of [5-10] years, and 3) the voluntary nature of such exit. To maintain the structural effect of this commitment, BILLA will ensure that neither ADEG nor any other company affiliated with BILLA within the meaning of Article 3 of the FKVO enters into a supply relationship with the respective merchant within a period of [5-10] years after their exit from the ADEG organization. This does not apply if the Commission finds that the market structure in the respective district has changed to such an extent that compatibility of the merger with the Common Market is possible even if BILLA supplies the respective ADEG merchant. 32. The fulfillment of the aforementioned commitment (Point 31) is to be monitored by the monitoring trustee. The monitoring trustee shall (i) submit a work plan in his first report to the Commission, describing how he will monitor compliance with the obligations arising from this commitment; (ii) track the ongoing business relationships of ADEG with the ADEG merchants in the affected districts; (iii) propose to BILLA such measures that the monitoring trustee deems appropriate to ensure compliance with the commitment; (iv) submit a written report to the Commission every two months (within 15 days after the end of each month), which will also be transmitted in non-confidential form to BILLA. The subject of the report shall be the development of the business relationships of ADEG with the affected ADEG merchants as well as the measures that BILLA has taken to implement the commitment, so that the Commission can assess whether the fulfillment of the commitment is likely to be possible; (v) submit a written report to the Commission within one week after the expiration of the exit deadline, indicating to what extent BILLA was able to fulfill the commitment. In particular, it must be stated how high the (if necessary estimated) retail sales of those ADEG merchants were who have left the ADEG organization in 2007. 33. Should BILLA fail to persuade the necessary number of ADEG merchants to leave the ADEG organization by the expiration of the exit deadline in one or more affected districts, BILLA will instead sell its own branches (BILLA, PENNY, or MERKUR) to the required extent. The sales of these branches ("crown jewels") must correspond to at least 65% of the aggregated retail sales of those ADEG merchants (basis: 2007) whose exit from the ADEG organization would have been necessary to remedy the remaining competitive bottleneck factor. The maximum affected sales per district can be found in Annex 1. 34. The selection of the specific "crown jewels" within the affected district is the responsibility of BILLA. However, the "crown jewels" must not include branches that reported a loss in the last financial year (2007). The provisions of Sections B and C of these commitments shall apply mutatis mutandis to the sale of the "crown jewels." The first sales period, during which BILLA can find a buyer for the "crown jewels," ends […] months after the expiration of the exit deadline. The second sales period, during which the sales trustee must carry out the sale, ends […] months after the expiration of the exit deadline. Section E Review Clause BILLA is entitled to apply to the Commission for an extension of the deadlines provided for in these commitments or (ii) under special circumstances, for a modification or repeal of one or more provisions in these commitments, if good reasons exist (which must be demonstrated by BILLA). If BILLA requests the Commission to extend a deadline, the justified request must be submitted to the Commission no later than one month before the expiration of the relevant deadline, unless there are exceptional circumstances. signed by RA Götz Drauz _________________________________________ on behalf of and in the name of BILLA Aktiengesellschaft 37 Annex 2 to the Commitments Closure Locations In the affected districts: ! MAGNET […] ! MAGNET […] ! MAGNET […] ! MAGNET […] Outside the affected districts (partially already closed): ! MAGNET […] ! MAGNET […] ! MAGNET […] ! MAGNET […] ! MAGNET […] 38</w:t>
      </w:r>
    </w:p>
    <w:p>
      <w:r>
        <w:rPr>
          <w:b/>
        </w:rPr>
        <w:t>[Pages 40–40]</w:t>
      </w:r>
    </w:p>
    <w:p>
      <w:r>
        <w:t>39</w:t>
      </w:r>
    </w:p>
    <w:p>
      <w:r>
        <w:t>Annex 2 to the Commitments</w:t>
        <w:br/>
        <w:t>Closure Locations</w:t>
        <w:br/>
        <w:t>In the affected districts:</w:t>
        <w:br/>
        <w:t>! MAGNET […]</w:t>
        <w:br/>
        <w:t>! MAGNET […]</w:t>
        <w:br/>
        <w:t>! MAGNET […]</w:t>
        <w:br/>
        <w:t>! MAGNET […]</w:t>
        <w:br/>
        <w:t>Outside the affected districts (partially already closed):</w:t>
        <w:br/>
        <w:t>! MAGNET […]</w:t>
        <w:br/>
        <w:t>! MAGNET […]</w:t>
        <w:br/>
        <w:t>! MAGNET […]</w:t>
        <w:br/>
        <w:t>! MAGNET […]</w:t>
        <w:br/>
        <w:t>! MAGNET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