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https://ec.europa.eu/competition/mergers/cases/decisions/m5075_20080617_20212_de.pdf</w:t>
      </w:r>
    </w:p>
    <w:p>
      <w:r>
        <w:t>Pages translated : 71</w:t>
      </w:r>
    </w:p>
    <w:p/>
    <w:p>
      <w:r>
        <w:rPr>
          <w:b/>
        </w:rPr>
        <w:t>[Pages 1–3]</w:t>
      </w:r>
    </w:p>
    <w:p>
      <w:r>
        <w:t xml:space="preserve">CASE No. COMP/M.5075 - </w:t>
        <w:br/>
        <w:t xml:space="preserve">VIENNA INSURANCE </w:t>
        <w:br/>
        <w:t xml:space="preserve">GROUP / EBV </w:t>
        <w:br/>
        <w:t xml:space="preserve">Only the German text is available and binding. </w:t>
        <w:br/>
        <w:t xml:space="preserve">REGULATION (EC) No. 139/2004 </w:t>
        <w:br/>
        <w:t xml:space="preserve">ON MERGER PROCEDURES </w:t>
        <w:br/>
        <w:t xml:space="preserve">Article 6, Paragraph 2 NO OBJECTIONS </w:t>
        <w:br/>
        <w:t xml:space="preserve">Date: 17/06/2008 </w:t>
        <w:br/>
        <w:t xml:space="preserve">In electronic format on the EUR-Lex website under </w:t>
        <w:br/>
        <w:t xml:space="preserve">document number 32008M5075 </w:t>
        <w:br/>
        <w:t xml:space="preserve">Office for Official Publications of the European Communities </w:t>
        <w:br/>
        <w:t>L-2985 Luxembourg</w:t>
      </w:r>
    </w:p>
    <w:p>
      <w:r>
        <w:t xml:space="preserve">EUROPEAN COMMISSION </w:t>
        <w:br/>
        <w:t xml:space="preserve">Brussels, 17.06.2008 </w:t>
        <w:br/>
        <w:t xml:space="preserve">SG-Greffe(2008) D/203897 </w:t>
        <w:br/>
        <w:t>In the published version of this decision, certain information has been omitted in accordance with Article 17 (2) of the Council Regulation (EC) No. 139/2004 regarding the NON-PUBLICATION of trade secrets and other confidential information. The omissions are marked by brackets [...]. Where possible, the omitted information has been replaced by a range/area indication of numbers or a general description.</w:t>
      </w:r>
    </w:p>
    <w:p>
      <w:r>
        <w:t xml:space="preserve">TO THE NOTIFYING PARTY: </w:t>
        <w:br/>
        <w:t xml:space="preserve">Dear Sir or Madam! </w:t>
        <w:br/>
        <w:t xml:space="preserve">Subject: Case No. COMP/M.5075 - Vienna Insurance Group/ EBV </w:t>
        <w:br/>
        <w:t>Notification of 23 April 2008 pursuant to Article 4 of Council Regulation (EC) No. 139/2004 (Merger Control Regulation)1</w:t>
      </w:r>
    </w:p>
    <w:p>
      <w:r>
        <w:t>1. On 23 April 2008, the notification of a merger project pursuant to Article 4 of Council Regulation (EC) No. 139/2004 was received by the Commission. The following is intended: The company WIENER STÄDTISCHE Versicherung AG Vienna Insurance Group ("VIG", Austria) acquires control over the companies Sparkassen Versicherung AG ("s-Versicherung", Austria), BCR Asigurari de Viata S.A. ("BCR LV", Romania), BCR Asigurari S.A. ("BCR SV", Romania), Pojišťovna České spořitelny, a.s. ("PCS", Czech Republic), Poist'ovňa Slovenskeij sporitel'ne, a.s. ("P-SLSP", Slovakia), and Erste Sparkasse Biztosító Zártkörűen Működő Részvénytársaság ("ESB", Hungary) (together "EBV"), which are themselves controlled by the company Erste Bank der oesterreichischen Sparkassen AG ("EB", Austria) through share purchase.</w:t>
      </w:r>
    </w:p>
    <w:p>
      <w:r>
        <w:t xml:space="preserve">I. THE PARTIES </w:t>
        <w:br/>
        <w:t>2. VIG is a publicly listed insurance group based in Austria, which operates primarily in the fields of life insurance and non-life insurance in Austria as well as in various countries in Central and Eastern Europe.</w:t>
      </w:r>
    </w:p>
    <w:p>
      <w:r>
        <w:t>3. EB is a publicly listed financial services company based in Austria, which primarily pursues banking and insurance activities in Austria and various countries in Central and Eastern Europe. Furthermore, EB is the central institution of the Austrian savings bank sector and has (co-)control over a part of the savings banks in Austria.</w:t>
      </w:r>
    </w:p>
    <w:p>
      <w:r>
        <w:t>4. The insurance activities of EB (EB insurance division, "EBV") are housed in the EB subsidiaries s-Versicherung (life and non-life insurance in Austria), BCR LV and BCR SV (life and non-life insurance in Romania), PCS (life insurance in the Czech Republic), P-SLSP (life insurance in Slovakia), and ESB (life insurance in Hungary). The insurance products of EBV are primarily distributed through the bank branches of EB.</w:t>
      </w:r>
    </w:p>
    <w:p>
      <w:r>
        <w:t xml:space="preserve">II. THE MERGER PROJECT </w:t>
        <w:br/>
        <w:t>5. On 26 March 2008, VIG and EB concluded a framework agreement, according to which EB will sell controlling share packages in the six aforementioned subsidiaries, which together form EBV, to VIG. VIG will acquire 88.5% of the shares in BCR LV and BCR SV as well as 95% of the shares in the other companies.</w:t>
      </w:r>
    </w:p>
    <w:p>
      <w:r>
        <w:t>6. Consequently, VIG will exercise sole control over the acquired companies. At the same time as the planned merger, EB, which retains a nominal stake of 5% in the sold companies, has agreed with VIG on a long-term distribution cooperation for an initial term of 15 years [...]. The central element will be the mutual quasi-exclusive distribution of insurance or banking products of the cooperation partner to their own customers. This cooperation is intended to apply to all countries in which both VIG and EB are operationally active. EB commits to offer its banking customers quasi-exclusively insurance products from VIG. In return, EB receives quasi-exclusive access to VIG's insurance customers to offer them banking products. Furthermore, the agreement covers the own needs of EB and VIG for services from the respective other company.</w:t>
      </w:r>
    </w:p>
    <w:p>
      <w:r>
        <w:t>7. The intended transaction thus constitutes a merger within the meaning of Article 3 Paragraph 1 Letter b of the Merger Control Regulation.</w:t>
      </w:r>
    </w:p>
    <w:p>
      <w:r>
        <w:t xml:space="preserve">III. COMMUNITY SIGNIFICANCE </w:t>
        <w:br/>
        <w:t xml:space="preserve">8. The companies involved achieve a worldwide total turnover of more than EUR 5 billion. (VIG: EUR 6.311 billion, EBV: EUR 1.2 billion) and have a community-wide total turnover of more than EUR 250 million each (VIG: EUR […] billion, EBV: EUR […] billion). Only EBV </w:t>
        <w:br/>
        <w:t>2 According to the provisions of the distribution agreement between VIG and EB, the obligations regarding the insurance products are considered fulfilled when EB sources at least […]% of the insurance sold to customers of EB that can be offered by VIG from VIG.</w:t>
      </w:r>
    </w:p>
    <w:p>
      <w:r>
        <w:rPr>
          <w:b/>
        </w:rPr>
        <w:t>[Pages 4–6]</w:t>
      </w:r>
    </w:p>
    <w:p>
      <w:r>
        <w:t xml:space="preserve">achieves more than two-thirds of its total revenue in the Community in one and the same Member State, namely Austria.  </w:t>
        <w:br/>
        <w:t xml:space="preserve">9. The notified merger therefore has Community-wide significance within the meaning of Article 1(2) of the Merger Control Regulation.  </w:t>
        <w:br/>
        <w:t xml:space="preserve">IV. COMPETITIVE ASSESSMENT  </w:t>
        <w:br/>
        <w:t xml:space="preserve">1. Relevant Markets  </w:t>
        <w:br/>
        <w:t xml:space="preserve">10. The planned merger affects various markets in the insurance sector. The insurance sector is generally to be divided into three broad categories of insurance according to the Commission's previous decision-making practice, namely (i) life insurance, (ii) non-life insurance, and (iii) reinsurance.3 The present case concerns the areas of (i) life insurance and (ii) non-life insurance.  </w:t>
        <w:br/>
        <w:t xml:space="preserve">11. Although the Commission has not definitively defined these product markets in its previous decision-making practice, it has considered that the areas of life insurance and non-life insurance could each be subdivided into as many different relevant markets as there are different risks covered. Since the characteristics, premiums, and uses of the individual insurances differ significantly, they are difficult to substitute from a demand perspective.4  </w:t>
        <w:br/>
        <w:t xml:space="preserve">12. The parties state that the Commission has, however, noted a certain degree of commonality on the supply side for non-life insurance in more recent decisions. Furthermore, the Commission has observed that the majority of large insurance companies are active in several different insurance categories and has pointed out that similar conclusions could also be drawn for life insurance. These factors could indicate a broader relevant market.5  </w:t>
        <w:br/>
        <w:t xml:space="preserve">13. With regard to the geographically relevant market, the Commission has assumed in previous decisions that insurance markets are predominantly national.6 Only for the markets for reinsurance and non-life insurance for large commercial risks have geographical markets been assumed that extend beyond national boundaries. For all other insurance markets, the competitive structures differ between countries, particularly due to (i) the stages of development of the insurance markets (e.g. with comparatively low market penetration in some new Member States), (ii) the regulatory frameworks for different types of insurance, (iii) the distribution structures, and (iv) the established market structures and reputation of certain insurance brands.  </w:t>
        <w:br/>
        <w:t xml:space="preserve">14. According to the parties, the geographically relevant market should be defined more broadly than national. In the area of life insurance, the geographically relevant markets are the German-speaking market, which includes Germany and Austria, as well as the market for the new EU Member States in Central and Eastern Europe ("CEE market"). In the area of non-life insurance, the parties believe there are good reasons for a EU-wide geographical market, at least for those non-life insurances for which the Commission has already considered EU-wide geographical markets.  </w:t>
        <w:br/>
        <w:t xml:space="preserve">15. The market investigation in this case, which was conducted for all Member States where the merger project leads to affected markets, has clearly shown for the vast majority of the relevant markets in the life and non-life insurance sectors that the geographical scope of the relevant markets is national. Furthermore, the market investigation confirmed an initial subdivision of the insurance market into the broad categories (i) life insurance, (ii) non-life insurance, and (iii) reinsurance.  </w:t>
        <w:br/>
        <w:t xml:space="preserve">16. For these reasons, the relevant markets will be analyzed below based on an initial rough subdivision into the categories (i) life insurance and (ii) non-life insurance based on the respective affected country.  </w:t>
        <w:br/>
        <w:t xml:space="preserve">1.1 Life Insurance  </w:t>
        <w:br/>
        <w:t xml:space="preserve">17. With regard to the life insurance sector, the Commission has considered in its previous decision-making practice to subdivide life insurance products into three separate markets for (i) protection products, (ii) retirement products, and (iii) investment products.7  </w:t>
        <w:br/>
        <w:t xml:space="preserve">18. According to the parties, the area of life insurance should be divided into two separate relevant markets, namely (i) life insurance with protection features ("protection products") and (ii) life insurance with retirement and investment features ("retirement and investment products").  </w:t>
        <w:br/>
        <w:t xml:space="preserve">19. The area of (i) protection products is intended to include those life insurances that define risks such as death before a certain point in time, the occurrence of serious illnesses, occupational or disability, or other dangers directly related to human life as an insured event and trigger a benefit from the insurer in this case.  </w:t>
        <w:br/>
        <w:t xml:space="preserve">7 See cases COMP/M.3556 Fortis/BCP; COMP/M.4047 AVIVA/ARK LIFE; COMP/M.4284 AXA/Winterthur; COMP/M.4701 Generali/PPF Insurance Business  </w:t>
        <w:br/>
        <w:t xml:space="preserve">20. The area of (ii) retirement and investment products is intended to include, on the one hand, retirement products that primarily serve personal financial provision. In this broader definition of life insurance, the occurrence of a certain point in time is defined as an insured event to which a benefit from the insurer is linked. On the other hand, this area is to include investment products that primarily serve personal wealth accumulation. Here, from the customer's perspective, the profitable investment of financial resources is the focus. According to the parties, there is no clear division between retirement products on the one hand and investment products on the other, either from the demand or supply side. Both sub-areas serve, in the view of the parties, to optimize personal wealth situations and thus belong to the same relevant market.  </w:t>
        <w:br/>
        <w:t xml:space="preserve">21. The parties further argue that this market for (ii) retirement and investment products not only includes life insurance products but also products from other financial service providers such as banks, investment funds, or pension funds. Their products with retirement or investment characteristics should therefore be included in an overall market for wealth accumulation products, which the parties refer to as the market for "Wealth-Creation" products.  </w:t>
        <w:br/>
        <w:t xml:space="preserve">22. Alternative or further segmentations of the area of life insurance or its sub-areas, as discussed in the Commission's previous decision-making practice, are considered by the parties to be inappropriate. Such segmentations could be conceivable between individual and group insurances, between different types of protection products, between retirement and savings/investment products, and between unit-linked and non-unit-linked life insurances. Furthermore, the Commission has examined in the market investigation whether a segmentation based on distribution channels would be meaningful. However, the parties consider such segmentation to be incorrect.  </w:t>
        <w:br/>
        <w:t xml:space="preserve">23. Regarding the geographically relevant market, the Commission, as already mentioned in paragraph 13, has identified national markets in its previous decision-making practice. The primary reasons for this in the life insurance sector were national distribution channels, established and different market structures, as well as different tax and regulatory provisions.  </w:t>
        <w:br/>
        <w:t xml:space="preserve">24. As already mentioned in paragraph 14, the parties believe that the geographically relevant market in the area of life insurance is, on the one hand, the German-speaking market, which includes Germany and Austria, and on the other hand, the market for the new Member States in Central and Eastern Europe ("CEE market").  </w:t>
        <w:br/>
        <w:t xml:space="preserve">25. The market investigation has shown for all countries where the intended merger would lead to horizontal overlaps in the life insurance sector (Austria, Romania, the Czech Republic, Slovakia, and Hungary) that the geographically relevant markets are of national scope.  </w:t>
        <w:br/>
        <w:t>26. Below, unless already mentioned, information on the relevant market in the life insurance sector is provided for each affected country.</w:t>
      </w:r>
    </w:p>
    <w:p>
      <w:r>
        <w:rPr>
          <w:b/>
        </w:rPr>
        <w:t>[Pages 7–9]</w:t>
      </w:r>
    </w:p>
    <w:p>
      <w:r>
        <w:t xml:space="preserve">1.1.1 Life Insurance in Austria  </w:t>
        <w:br/>
        <w:t xml:space="preserve">27. The results of the market investigation confirm a division of the Austrian life insurance market into a market for (i) protection products and a market for (ii) retirement and investment products. Almost all market participants believe that protection products on the one hand and retirement and investment products on the other represent different products. A large majority of market participants further hold the view that these two categories of life insurance constitute separate relevant markets in Austria. It can therefore be assumed that there is a relevant market for (i) protection products in Austria as well as at least one relevant market for life insurance excluding protection products, namely for (ii) retirement and investment products in Austria.  </w:t>
        <w:br/>
        <w:t xml:space="preserve">28. Regarding the definition of the second relevant market for (ii) retirement and investment products in Austria, the parties, as already mentioned in paragraph 21, proposed a market for wealth-creation products. This should include not only life insurance products but also retirement and investment products from other financial service providers in the relevant market. The results of the market investigation for Austria did not confirm this view. The proposed market definition was rejected by a large majority of competitors in Austria, citing the specific characteristics of insurance products, particularly their tax treatment, risk coverage component, and partially guaranteed investment returns.  </w:t>
        <w:br/>
        <w:t xml:space="preserve">29. Concerning the alternative or further segmentations of the life insurance sector or its sub-sectors, particularly (ii) retirement and investment products, the market investigation for Austria did not yield clear results.  </w:t>
        <w:br/>
        <w:t xml:space="preserve">30. However, a conclusive definition of the relevant market for life insurance excluding protection products in Austria is not necessary for the competitive assessment of the present case. Aside from a slightly higher combined market share of the parties in retirement products compared to investment products, the competitive assessment of the intended merger would not lead to different results for Austria under any of the alternative or further segmentations of the relevant market.  </w:t>
        <w:br/>
        <w:t xml:space="preserve">31. The market investigation could not definitively answer the question of whether different distribution channels for life insurance constitute separate markets in Austria. A narrow majority of intermediaries supports this view, whereas a large number of competitors are rather opposed to it. Regardless, the market investigation has shown that the distribution of life insurance through banks is of particularly great importance for life insurance in Austria, both for past growth achieved and for future expected growth in the life insurance sector.  </w:t>
        <w:br/>
        <w:t xml:space="preserve">32. Regarding the geographically relevant market, the market investigation, as already mentioned in paragraph 25, did not support the German-speaking market cited by the parties and clearly indicated a national market in Austria for both (i) protection products and (ii) retirement and investment products.  </w:t>
        <w:br/>
        <w:t xml:space="preserve">1.1.2 Life Insurance in Romania, Slovakia, the Czech Republic, and Hungary  </w:t>
        <w:br/>
        <w:t xml:space="preserve">33. For Romania, Slovakia, and the Czech Republic, the results of the market investigation confirm the national scope of the geographically relevant markets. The relevant markets would thus be, at the broadest level, the respective national markets for life insurance products in Romania, Slovakia, and the Czech Republic.  </w:t>
        <w:br/>
        <w:t xml:space="preserve">34. Analogous to the results for Austria, there was also significant agreement in the market investigation in these countries regarding a division of the respective national life insurance sectors into markets for (i) protection products and markets for (ii) retirement and investment products.  </w:t>
        <w:br/>
        <w:t xml:space="preserve">35. A significant majority of market participants in these countries, however, rejected the market for wealth-creation products proposed by the parties, regardless of its geographical scope, particularly due to the specific characteristics of insurance products.  </w:t>
        <w:br/>
        <w:t xml:space="preserve">36. In its decision on case COMP/M.4701 Generali/PPF Insurance Business, the Commission found indications to further subdivide the Czech market into retirement products on the one hand and investment products on the other. The results regarding alternative or further segmentations based on unit-linked and non-unit-linked products and based on individual and group insurance were, however, unclear. A similar picture regarding alternative or further segmentations emerges in the present case for all three countries.  </w:t>
        <w:br/>
        <w:t xml:space="preserve">37. Overall, the relevant market in Romania, Slovakia, and the Czech Republic does not need to be conclusively defined, as the intended merger would not raise serious competitive concerns in any of these countries, regardless of the exact market definition. Furthermore, it should be noted that the specific characteristics mentioned for life insurance in Austria regarding distribution through banks are significantly less relevant for these three countries, as the share of bank distribution is much lower in these countries. Additionally, the intended merger would not lead to significant overlaps in this distribution channel, as VIG has not significantly distributed life insurance products through banks to date.  </w:t>
        <w:br/>
        <w:t xml:space="preserve">38. The activities of the parties in the life insurance sector would also lead to horizontal overlaps in Hungary. However, these horizontal overlaps would result in combined market shares of less than 5%. Therefore, the life insurance sector in Hungary is not further addressed in this decision.  </w:t>
        <w:br/>
        <w:t xml:space="preserve">1.2 Non-Life Insurance  </w:t>
        <w:br/>
        <w:t xml:space="preserve">39. Just as in the life insurance sector, according to the previous decision-making practice of the Commission, as far as demand is concerned, as many different product markets can be assumed in non-life insurance as there are insurances for different risks. Since the characteristics, premiums, and uses of the individual insurances differ significantly, they are only rarely interchangeable for policyholders. However, the Commission has also noted that in non-life insurance, from the suppliers' perspective, the conditions for insuring various risks are similar and that most large insurance companies offer insurance for multiple risks. This could suggest that different types of non-life insurance belong to a single product market.  </w:t>
        <w:br/>
        <w:t xml:space="preserve">40. In some cases, however, the Commission has decided that it is necessary, or may be necessary, to define the markets more narrowly. This has been discussed specifically in connection with credit and surety insurance and some other specialized insurances, typically for large risks.  </w:t>
        <w:br/>
        <w:t>41. The market investigation in the present case has shown that the precise market delineation in the area of non-life insurance requires separate consideration for each member state, particularly due to the following factors: (1) The differences regarding the development level of the respective insurance markets are partly significant. In particular, in the new member states, the insurance density in the area of more specialized types of insurance is still very low. (2) There are numerous national peculiarities regarding the regulatory framework for different types of insurance. (3) There are also significant differences between the member states regarding the distribution structure and the importance of brand recognition (and the underlying determining factors such as financial solidity), which may limit interchangeability on the supply side. The market investigation has also shown that some non-life insurances are marketed as mass products, particularly when there is a legal insurance obligation for them and the policyholder is not the beneficiary, whereas other non-life insurance products are</w:t>
      </w:r>
    </w:p>
    <w:p>
      <w:r>
        <w:rPr>
          <w:b/>
        </w:rPr>
        <w:t>[Pages 10–12]</w:t>
      </w:r>
    </w:p>
    <w:p>
      <w:r>
        <w:t>42. With regard to the geographical dimension of the market, the Commission has generally concluded that non-life insurance markets are national markets12, with the possible exception of marine, aviation, aerospace, and transport insurance13, other insurance for large commercial risks, and reinsurance. In this respect, the market investigation has confirmed previous decisions of the Commission in the non-life insurance sector.</w:t>
      </w:r>
    </w:p>
    <w:p>
      <w:r>
        <w:t>43. The proposed merger leads to potentially affected markets or market segments in the non-life insurance sector in Romania and, to a significantly lesser extent, in Austria and the Czech Republic.</w:t>
      </w:r>
    </w:p>
    <w:p>
      <w:r>
        <w:t>1.2.1 Non-Life Insurance in Romania</w:t>
      </w:r>
    </w:p>
    <w:p>
      <w:r>
        <w:t>44. In the non-life insurance sector in Romania, VIG is represented by the insurance brands Agras, Asirom, Omniasig, and Unita, while EBV operates through BCR SV. With regard to Romania, the Commission has examined both the market definition proposed by the parties and a more detailed subdivision of the relevant market based on the eighteen categories of non-life insurance defined by the Romanian insurance supervisory authority, the Comisia de Supraveghere a Asigurarilor (CSA)14. Regarding credit and guarantee insurances, the Commission has also considered a potentially finer subdivision of the market compared to the segmentation handled by the CSA, in accordance with its previous practice15. It has followed a similar approach in some other cases to be explained in more detail below concerning other segments of non-life insurance.</w:t>
      </w:r>
    </w:p>
    <w:p>
      <w:r>
        <w:t>45. Based on the market definition proposed by the parties, the transaction would lead to potentially affected markets in Romania in the following six segments, assuming that these are for the purposes of the application of the Merger Control Regulation concerning independent product markets:</w:t>
      </w:r>
    </w:p>
    <w:p>
      <w:r>
        <w:t>• Motor vehicle insurance (CSA classes III and X, i.e., motor vehicle comprehensive insurance and motor vehicle liability insurance),</w:t>
        <w:br/>
        <w:t>• Property and elemental insurance (CSA classes VIII and IX),</w:t>
        <w:br/>
        <w:t>• Asset insurance (CSA classes XIV, XV, and XVI),</w:t>
        <w:br/>
        <w:t>• Accident insurance (CSA class I),</w:t>
        <w:br/>
        <w:t>• Marine, aviation, aerospace, and transport insurance (CSA classes IV, V, VI, VII, XI, and XII),</w:t>
        <w:br/>
        <w:t>• (General) liability insurance (class XIII, excluding motor vehicle liability, aircraft liability, and ship liability, which each fall under other CSA classes).</w:t>
      </w:r>
    </w:p>
    <w:p>
      <w:r>
        <w:t>46. Based on the data for the individual CSA insurance classes in the year 200716, the transaction would lead to potentially affected markets in all classes except for classes XII, XVI, XVII, and XVIII17. CSA class II (health insurance) also does not require further consideration, as the combined market share of [10-20]% only slightly exceeds [10-20]% and there is only a minimal market share increase of [&lt;1]% in this market segment18.</w:t>
      </w:r>
    </w:p>
    <w:p>
      <w:r>
        <w:t>47. The following discussion of the relevant product markets refers exclusively to the situation in Romania, as it emerges from the Commission's market investigation.</w:t>
      </w:r>
    </w:p>
    <w:p>
      <w:r>
        <w:t>1.2.1.1 Motor Vehicle Insurance in Romania</w:t>
      </w:r>
    </w:p>
    <w:p>
      <w:r>
        <w:t>48. Various considerations raised by market participants during the market investigation indicate that motor vehicle comprehensive and motor vehicle liability insurances in Romania could be regarded as distinct relevant markets. Motor vehicle liability insurance is a legally mandated insurance that must be issued on specific policy forms provided by the CSA. This means that legally, no single policy covering both comprehensive and liability insurance can be offered by insurance companies. Liability insurance has the character of a necessity insurance, where competition is primarily driven by price, as the beneficiary of the insurance is not the policyholder, and the coverage conditions are dictated by law. The market investigation has confirmed that switching insurance providers is possible without major obstacles or difficulties.</w:t>
      </w:r>
    </w:p>
    <w:p>
      <w:r>
        <w:t>49. In contrast, motor vehicle comprehensive insurance has entirely different characteristics. In Romania, up to 50% of the total premium volume of this market segment relates to leased vehicles. To protect its financial investment interests, leasing companies typically require the conclusion of a motor vehicle comprehensive insurance in these cases. The market investigation also indicates that regarding this type of insurance, the brand name of the insurance and its services in the event of a claim are important purchasing criteria.</w:t>
      </w:r>
    </w:p>
    <w:p>
      <w:r>
        <w:t>50. According to rough estimates by the parties, regardless of the distribution channel, less than half of customers obtain these two types of insurance from the same provider. The differing strength of insurance companies in these two types of insurance supports the conclusion that they are different markets. While the market shares of Omniasig and BCR SV are similar in both insurance classes, the VIG subsidiaries Asirom and Unita have significantly stronger positions in motor vehicle liability than in comprehensive insurance, whereas the competitor Allianz has conversely significantly higher market shares in the area of comprehensive insurance than in liability insurance.</w:t>
      </w:r>
    </w:p>
    <w:p>
      <w:r>
        <w:t>51. Accordingly, the market investigation has found that a majority of competitors, insurance brokers, and customers consider these two motor vehicle insurance classes as distinct markets. However, for the purposes of this decision, it can ultimately remain open whether motor vehicle comprehensive and motor vehicle liability insurance in Romania represent two distinct relevant markets or whether they are part of a single market for motor vehicle insurance products, as serious concerns regarding the compatibility of the project with the Common Market exist regardless of the specific market definition.</w:t>
      </w:r>
    </w:p>
    <w:p>
      <w:r>
        <w:t>52. The market investigation has confirmed the Commission's view from previous decisions19 that this is a national market. This is particularly evident from the fact that detailed knowledge of local conditions, local distribution channels, national regulatory requirements, the applicability of national laws, and national legal practices regarding the nature of the risk to be insured is required to operate as an insurance company in Romania in the non-life insurance sector, including motor vehicle liability and comprehensive insurance.</w:t>
      </w:r>
    </w:p>
    <w:p>
      <w:r>
        <w:t>1.2.1.2 Property and Elemental Insurance in Romania</w:t>
      </w:r>
    </w:p>
    <w:p>
      <w:r>
        <w:rPr>
          <w:b/>
        </w:rPr>
        <w:t>[Pages 13–15]</w:t>
      </w:r>
    </w:p>
    <w:p>
      <w:r>
        <w:t>53. In the context of the market investigation, the Commission examined whether CSA class VIII, which covers insurance against property damage due to fire and natural disasters, and CSA class IX, which includes insurance against damage from weather events and theft, should be regarded as separate relevant markets. The extreme discrepancies in market shares between these two classes, as well as the specific demand for fire insurance among industrial customers and credit institutions seeking to protect their assets, particularly support the delineation of separate markets. Some of these aspects may be peculiarities of the Romanian market.</w:t>
      </w:r>
    </w:p>
    <w:p>
      <w:r>
        <w:t>54. However, the parties argued that the object of insurance in both cases is the same and only the insured event changes. Furthermore, they also noted that the CSA statistics are not particularly meaningful for assessing the market position of the parties within the mentioned classes, as policies that span both classes are not split in the statistics but are assigned to one or the other class based on the focus of the insured risk. Additionally, they pointed out that class IX covers specific agricultural insurance products, such as insurance coverage for damages caused by hail and frost. Finally, there also appear to be very similar distribution patterns for both types of insurance.</w:t>
      </w:r>
    </w:p>
    <w:p>
      <w:r>
        <w:t>55. The category of property and elemental insurance also covers a range of industrial risks. In previous decisions, the Commission noted that there may be a separate relevant market for industrial risk insurance. This does not require further subdivision concerning general industrial risks, as industrial insurers can often cover both various property hazards and liability risks, and insurance brokers play a more significant role in insuring industrial risks. However, the Commission also pointed out possible exceptions for certain more specific types of risks. The market investigation in the present case confirmed this market delineation. Another aspect supporting the assumption of a separate market concerning the insurance of general industrial risks is the fact that customers are generally more knowledgeable than other customers of property and elemental insurance.</w:t>
      </w:r>
    </w:p>
    <w:p>
      <w:r>
        <w:t>56. In summary, there is sufficient reason to assume that CSA classes VIII and IX should be regarded as segments of a single relevant market or that separate relevant markets for private and business customers should be distinguished. For the purposes of this decision, however, the exact market delineation can ultimately remain open, as any potential competitive concerns arising from the assumption of a separate market for fire insurance can in any case be addressed by the commitments offered by the parties to eliminate serious concerns in the area of motor vehicle insurance.</w:t>
      </w:r>
    </w:p>
    <w:p>
      <w:r>
        <w:t>57. Based on the general considerations already mentioned regarding the geographical scope of the motor vehicle insurance market, the market investigation in the present case also confirmed the Commission's view from previous decisions that it is a national market.</w:t>
      </w:r>
    </w:p>
    <w:p>
      <w:r>
        <w:t>1.2.1.3 Consumer Credit Insurance in Romania</w:t>
      </w:r>
    </w:p>
    <w:p>
      <w:r>
        <w:t>58. The purpose of credit insurance is to secure the lender's risk in the event of lending, i.e., the risk of insolvency or the risk of other payment incapacity or unwillingness of the debtor.</w:t>
      </w:r>
    </w:p>
    <w:p>
      <w:r>
        <w:t>59. In past decisions, the Commission has divided the market for credit insurance into five segments, namely, credit insurance, investment goods credit insurance, consumer credit insurance, fidelity insurance, and surety/warranty insurance. The credit insurances have also been explicitly regarded by the Commission as a separate relevant market.</w:t>
      </w:r>
    </w:p>
    <w:p>
      <w:r>
        <w:t>60. In the present case, however, none of the parties is active in the area of credit insurance, a type of insurance that appears to have been only very marginally distributed in Romania so far. The figures recorded by CSA for insurance class XIV seem to relate almost exclusively to credit insurance for banks and leasing companies. This is true to the extent that the activities of the parties in the area of credit insurance are almost exclusively directed at these two customer groups. Therefore, this decision will only consider the market segment of consumer credit insurance. This market was also the subject of a brief examination in the case COMP/M.813 Allianz/Hermes.</w:t>
      </w:r>
    </w:p>
    <w:p>
      <w:r>
        <w:t>61. According to the Commission's understanding, the customers in the credit insurance sector in the present case, at least concerning the business activities of the parties, are predominantly banks. To a significantly lesser extent, other financial service providers (leasing companies) also inquire about credit insurance.</w:t>
      </w:r>
    </w:p>
    <w:p>
      <w:r>
        <w:t>62. The services provided to banks, which account for more than 95% of the gross premium volume in the case of the parties, relate to the portfolio risk of banks concerning consumer loans, particularly private loans and credit card transactions. This segment is characterized by a small number of large customers, while leasing companies generally consist of significantly smaller customers.</w:t>
      </w:r>
    </w:p>
    <w:p>
      <w:r>
        <w:t>63. The market investigation revealed that banks, according to regulatory requirements for the credit sector in Romania, can secure the risk of their credit portfolio either by taking out appropriate credit insurance or by making corresponding provisions in their balance sheets. Provisions incur opportunity costs concerning the capital available to the bank for lending purposes. The parties have indicated that credit insurers in Romania are increasingly facing difficulties in reinsuring the risk from the insurance of banks, which results in ever-higher premiums. The result is a market that can at best be described as unstable and whose future appears uncertain.</w:t>
      </w:r>
    </w:p>
    <w:p>
      <w:r>
        <w:t>64. To the extent that retaining the credit portfolio risk in one's own balance sheet is considered self-supply or a decision against acquiring third-party products, this, according to the Commission's established case law, has no impact on the delineation of the relevant market, although the availability of an internal solution affects demand elasticity and thus also the extent to which market power can be profitably exercised.</w:t>
      </w:r>
    </w:p>
    <w:p>
      <w:r>
        <w:t>65. Clearly, the demand from banks for credit portfolio insurance depends on a number of different factors, which can also prove to be extremely volatile. Furthermore, banks are particularly knowledgeable customers who are able to assess the risk associated with their credit portfolios themselves, allowing them to calculate the reference price for the desired insurance.</w:t>
      </w:r>
    </w:p>
    <w:p>
      <w:r>
        <w:t>66. Additionally, a number of other techniques have evidently developed in the financial markets that are intended to enable banks to sell or diversify their credit portfolios, particularly through securitization. Although such products could, in principle, be part of the same relevant market as credit insurance, the market investigation did not yield compelling evidence that these products play a role in Romania. However, it was noted that international banks are able or have the option to choose to internally reallocate existing credit risks within their risk management strategy.</w:t>
      </w:r>
    </w:p>
    <w:p>
      <w:r>
        <w:t>67. As a result, the broadest possible relevant market in the present case is thus the market for financial credit insurance (i.e., non-trade-related credit insurance according to the categories of credit insurance considered in previous Commission decisions, excluding credit insurance and warranty insurance). However, since the business activities of the parties only overlap significantly in the area of credit portfolio insurance for banks, the competitive assessment will focus on this market segment.</w:t>
      </w:r>
    </w:p>
    <w:p>
      <w:r>
        <w:rPr>
          <w:b/>
        </w:rPr>
        <w:t>[Pages 16–18]</w:t>
      </w:r>
    </w:p>
    <w:p>
      <w:r>
        <w:t>68. The market investigation further suggests that this is a market of national scope. However, for the purposes of this decision, there is no need for a definitive delineation of the geographically relevant market, as the merger does not raise competitive concerns in the area of credit insurance, regardless of the specific geographical market delineation.</w:t>
      </w:r>
    </w:p>
    <w:p>
      <w:r>
        <w:t>1.2.1.4 Warranty Insurance in Romania</w:t>
      </w:r>
    </w:p>
    <w:p>
      <w:r>
        <w:t>69. While consumer credit insurance covers the risk of insolvency and non-payment by the debtor for the policyholder, i.e., a credit institution, warranty insurance serves broader purposes. Warranty insurances can cover quality guarantees, guarantees regarding usability, delivery, or other contractual or legal obligations that typically arise from relationships between businesses in commercial transactions, even though in individual cases private customers may be beneficiaries of warranty insurances. The Commission has analyzed this type of insurance, which covers an individual risk and not a portfolio risk, in detail not too long ago in case COMP/M.3786 BPI/Euler Hermes/COSEC. In this case, the parties argued that the relevant market was not limited to warranty insurances but also included guarantee products, including bank guarantees for non-financial risks, which replace deposits, value adjustments, advance payments, and withholdings. The Commission confirmed this approach in case COMP/M.3786 BPI/Euler Hermes/COSEC. The parties believe that the relevant market should also be delineated accordingly in the present case.</w:t>
      </w:r>
    </w:p>
    <w:p>
      <w:r>
        <w:t>70. According to rough estimates by the parties in the present case, only a minor part of the total market for guarantee products is attributable to insurance products, which has a volume of EUR 2.9 million in 2007, amounting to just 0.1% of the total market for non-life insurance products. The parties estimate that insurance products account for only 5% of the portion of the guarantee products market attributable to bank products.</w:t>
      </w:r>
    </w:p>
    <w:p>
      <w:r>
        <w:t>71. Warranty insurances in Romania typically concern the travel and construction sectors at the wholesale level and thus economic sectors where the equivalence of bank products has been explicitly confirmed. As a result, it can be concluded that the relevant market in this case is the market for guarantee products, regardless of whether these products are offered by banks or insurers.</w:t>
      </w:r>
    </w:p>
    <w:p>
      <w:r>
        <w:t>72. In previous decisions, the Commission has assumed that this market has a national scope.26 In the present case, there is no need for a definitive decision regarding the geographical scope of this market, as the market for guarantee products cannot be classified as a relevant market in the sense of Regulation (EC) No. 802/2004 of the Commission (Implementing Regulation)27, neither in the case of a national Romanian market nor in the case of any further geographically relevant market.</w:t>
      </w:r>
    </w:p>
    <w:p>
      <w:r>
        <w:t>1.2.1.5 Marine, Aviation, Aerospace, and Transport Insurance ("MAT Insurance") in Romania</w:t>
      </w:r>
    </w:p>
    <w:p>
      <w:r>
        <w:t>73. In previous decisions, the Commission has assumed a market for marine, aviation, aerospace, and transport insurance (so-called "Marine, Air and Transport" or MAT insurance) of at least EEA-wide scope.28 In individual cases, the Commission has considered a further subdivision of the MAT insurance market, particularly in the aviation and aerospace sector, without, however, definitively deciding on a narrower market delineation in this regard.29 In the present case, there is no need for a definitive decision on possible further subdivisions of the relevant market, as the parties achieve negligibly small joint market shares in an EEA-wide market. The market investigation has not revealed any indications of the existence of national sub-markets. Therefore, the merger does not lead to affected markets in the area of MAT insurance.</w:t>
      </w:r>
    </w:p>
    <w:p>
      <w:r>
        <w:t>1.2.1.6 Accident Insurance in Romania</w:t>
      </w:r>
    </w:p>
    <w:p>
      <w:r>
        <w:t>74. The subject of accident insurance is the coverage of the consequences of an accident, including occupational accidents and occupational diseases.</w:t>
      </w:r>
    </w:p>
    <w:p>
      <w:r>
        <w:t>75. According to estimates by the parties, this is predominantly a corporate insurance in Romania. As already indicated in connection with property and elemental insurances in paragraph 55, supply substitution regarding general industrial risks is likely to play a role in market delineation, as most industrial insurers can offer insurance for various general risks.</w:t>
      </w:r>
    </w:p>
    <w:p>
      <w:r>
        <w:t>76. However, for the purposes of this decision, it is not necessary to make a definitive market delineation, as there are no serious concerns regarding the compatibility of the project with the Common Market in relation to the market segment of accident insurance, regardless of the specific market delineation.</w:t>
      </w:r>
    </w:p>
    <w:p>
      <w:r>
        <w:t>77. Based on the general considerations already explained for other segments of non-life insurance (e.g., motor vehicle insurance and property and elemental insurance), the market investigation in this case has also confirmed the Commission's view from previous decisions30 that it is a national market.</w:t>
      </w:r>
    </w:p>
    <w:p>
      <w:r>
        <w:t>1.2.1.7 General Liability Insurance in Romania</w:t>
      </w:r>
    </w:p>
    <w:p>
      <w:r>
        <w:t>78. The category of general liability insurance applies to a variety of different circumstances and events that can trigger private liability for both companies and individuals. In many cases, this insurance is legally required. In the event of a claim, payouts for individual liability cases can be extremely high. This results in this market segment being significantly shaped by the distribution of risk among various insurers, percentage deductibles, reinsurance, and insurance pools.</w:t>
      </w:r>
    </w:p>
    <w:p>
      <w:r>
        <w:t>79. General liability insurance includes the important categories of product liability, professional liability, and board and executive liability. Such specific forms of liability insurance could be considered separate relevant markets under certain circumstances. For example, the Commission has assumed in one case that the specific liability insurance for pharmaceutical companies should be regarded as a separate relevant market.31</w:t>
      </w:r>
    </w:p>
    <w:p>
      <w:r>
        <w:t>80. However, the market investigation has shown that such a differentiated subdivision would not be appropriate given the current state of development of the Romanian market. In 2007, the category of general liability insurance accounted for only 2% of the total premium volume in the non-life insurance sector in Romania. Furthermore, the market investigation has not provided any indications of special specializations or a specific regime for individual areas of liability insurance that could justify a subdivision of the market for general liability insurance into individual segments.</w:t>
      </w:r>
    </w:p>
    <w:p>
      <w:r>
        <w:t>81. For the purposes of this decision, however, the delineation of the relevant market can ultimately remain open, as there are no serious concerns regarding the compatibility of the project with the Common Market in relation to the market segment of general liability insurance, regardless of the specific market delineation.</w:t>
      </w:r>
    </w:p>
    <w:p>
      <w:r>
        <w:t>82. As with other segments of non-life insurance (e.g., motor vehicle insurance, property and elemental insurance, and accident insurance), the market investigation in this case has also confirmed that the area of general liability insurance constitutes a national market.</w:t>
      </w:r>
    </w:p>
    <w:p>
      <w:r>
        <w:t>1.2.1.8 Distribution of Non-Life Insurance</w:t>
      </w:r>
    </w:p>
    <w:p>
      <w:r>
        <w:t>83. The main distribution channels in the non-life insurance sector in Romania are distribution through in-house sales personnel, insurance agents (who either</w:t>
      </w:r>
    </w:p>
    <w:p>
      <w:r>
        <w:rPr>
          <w:b/>
        </w:rPr>
        <w:t>[Pages 19–21]</w:t>
      </w:r>
    </w:p>
    <w:p>
      <w:r>
        <w:t>1.2.1.8 Distribution of Non-Life Insurance</w:t>
      </w:r>
    </w:p>
    <w:p>
      <w:r>
        <w:t>83. The main distribution channels in the non-life insurance sector in Romania are distribution through own sales personnel, insurance agents (who either work exclusively for a single insurance company or for a number of different insurers), insurance brokers, and banks. The market investigation has shown that the differences between these distribution channels do not justify the delineation of separate relevant markets based on the distribution channel used, as the same products are usually available under comparable conditions through more than one distribution channel, and customers are free to choose the distribution channel that best meets their needs. In particular, bank distribution, which is less important in all EU member states in the non-life insurance sector than in the life insurance sector, is still very underdeveloped in Romania.</w:t>
      </w:r>
    </w:p>
    <w:p>
      <w:r>
        <w:t>1.2.2 Non-Life Insurance in Austria and the Czech Republic</w:t>
      </w:r>
    </w:p>
    <w:p>
      <w:r>
        <w:t>84. In Austria and the Czech Republic, EBV is only active in a single segment of the non-life insurance market (which is also somewhat related to EBV's core business, the life insurance business), namely in the area of accident insurance. Given EBV's low market shares in this market segment and the fact that the proposed merger does not raise competitive concerns in this market segment in either Austria or the Czech Republic, it can remain open in this case whether the accident insurance segment should be considered a separate relevant market.</w:t>
      </w:r>
    </w:p>
    <w:p>
      <w:r>
        <w:t>85. According to the statements regarding the geographical market delineation concerning accident insurance in Romania, the market investigation in this case has also shown that accident insurance in Austria and the Czech Republic constitutes a national market.</w:t>
      </w:r>
    </w:p>
    <w:p>
      <w:r>
        <w:t>2. Compatibility with the Common Market</w:t>
      </w:r>
    </w:p>
    <w:p>
      <w:r>
        <w:t>86. The intended merger leads to significant horizontal overlaps in life insurance in Austria, Romania, Slovakia, and the Czech Republic, as well as in non-life insurance in Austria, Romania, and the Czech Republic.32 The following sections will analyze the compatibility of the intended merger with the common market based on a rough division into the categories (i) life insurance and (ii) non-life insurance based on the respective affected country.</w:t>
      </w:r>
    </w:p>
    <w:p>
      <w:r>
        <w:t>87. The Commission concludes that the merger raises serious concerns regarding the Austrian market for life insurance with retirement and investment characteristics and the Romanian market for motor vehicle insurance. Therefore, VIG has offered the Commission commitments consisting of the complete divestiture of two insurance companies currently controlled by VIG. One is Bank Austria Creditanstalt Versicherungen AG ("BACAV") based in Austria, and the other is Unita Vienna Insurance Group S.A. ("Unita") based in Romania. For the sake of simplicity, the following sections will present the joint market shares of the parties both with and without the implementation of these commitments in assessing the compatibility of the intended merger with the common market.</w:t>
      </w:r>
    </w:p>
    <w:p>
      <w:r>
        <w:t>2.1 Life Insurance</w:t>
      </w:r>
    </w:p>
    <w:p>
      <w:r>
        <w:t>2.1.1 Life Insurance in Austria</w:t>
      </w:r>
    </w:p>
    <w:p>
      <w:r>
        <w:t>2.1.1.1 Overall Life Insurance in Austria</w:t>
      </w:r>
    </w:p>
    <w:p>
      <w:r>
        <w:t>88. The total premium volume for life insurance in Austria amounted to EUR 7.2 billion in 2006. The market investigation has confirmed that this is a relatively mature market with low to moderate growth.</w:t>
      </w:r>
    </w:p>
    <w:p>
      <w:r>
        <w:t>89. The following table shows the market shares for life insurance in Austria based on the premium volume achieved and excluding non-insurance products from other financial service providers.33 For all the following tables, the remaining market shares not shown are held by companies that each have less than 10% market share in all the years presented.</w:t>
      </w:r>
    </w:p>
    <w:p>
      <w:r>
        <w:t>2004 2005 2006 200734</w:t>
        <w:br/>
        <w:t>VIG including BACAV [20-30]% [20-30]% [20-30]% [20-30]%</w:t>
        <w:br/>
        <w:t>EBV [10-20]% [10-20]% [10-20]% [10-20]%</w:t>
        <w:br/>
        <w:t>VIG and EBV together [30-40]% [30-40]% [30-40]% [30-40]%</w:t>
        <w:br/>
        <w:t>Together, without BACAV [20-30]% [30-40]% [30-40]% [30-40]%</w:t>
        <w:br/>
        <w:t>UNIQA [20-30]% [20-30]% [20-30]% [20-30]%</w:t>
        <w:br/>
        <w:t>Generali [10-20]% [10-20]% [10-20]% [10-20]%</w:t>
      </w:r>
    </w:p>
    <w:p>
      <w:r>
        <w:t>2.1.1.2 Protection Products in Austria</w:t>
      </w:r>
    </w:p>
    <w:p>
      <w:r>
        <w:t>90. As noted in the discussion of the relevant markets in paragraphs 10 to 32, the market for protection products in Austria constitutes a separate relevant market. For this market, which has a volume of around EUR 380 million in 2007, only a small part of the overall life insurance sector, the following market shares arise:35</w:t>
      </w:r>
    </w:p>
    <w:p>
      <w:r>
        <w:t>2004 2005 2006</w:t>
        <w:br/>
        <w:t>VIG including BACAV [10-20]% [10-20]% [10-20]%</w:t>
        <w:br/>
        <w:t>EBV [5-10]% [5-10]% [5-10]%</w:t>
        <w:br/>
        <w:t>VIG and EBV together [20-30]% [20-30]% [20-30]%</w:t>
        <w:br/>
        <w:t>Together, without BACAV [10-20]% [10-20]% [10-20]%</w:t>
        <w:br/>
        <w:t>UNIQA [30-40]% [30-40]% [30-40]%</w:t>
        <w:br/>
        <w:t>Wüstenrot [10-20]% [10-20]% [10-20]%</w:t>
      </w:r>
    </w:p>
    <w:p>
      <w:r>
        <w:t>91. Thus, after the intended merger, VIG would have a joint market share of [20-30]%, making it the second strongest provider. Uniqa would remain the market leader by a large margin.</w:t>
      </w:r>
    </w:p>
    <w:p>
      <w:r>
        <w:t>92. Other competitors include Wüstenrot36, Allianz, Generali, Victoria37.</w:t>
      </w:r>
    </w:p>
    <w:p>
      <w:r>
        <w:t>93. With an ex-ante HHI of [1,700-1,900] and an HHI increase of [&lt;250], the intended merger does not raise significant competitive concerns based on the HHI values. The market investigation has also not led to competitive concerns.</w:t>
      </w:r>
    </w:p>
    <w:p>
      <w:r>
        <w:t>94. As a result, it can be concluded from the above analysis (paragraphs 90 to 93) that the proposed merger in the area of protection products in Austria does not give rise to serious concerns regarding its compatibility with the Common Market.</w:t>
      </w:r>
    </w:p>
    <w:p>
      <w:r>
        <w:t>2.1.1.3 Retirement and Investment Products in Austria</w:t>
      </w:r>
    </w:p>
    <w:p>
      <w:r>
        <w:t>95. Regarding the second relevant market, the market shares in a total market for (ii) retirement and investment products, which had a premium volume of EUR 6.8 billion in 2006, are as follows38:</w:t>
      </w:r>
    </w:p>
    <w:p>
      <w:r>
        <w:rPr>
          <w:b/>
        </w:rPr>
        <w:t>[Pages 22–24]</w:t>
      </w:r>
    </w:p>
    <w:p>
      <w:r>
        <w:t xml:space="preserve">2004 2005 2006  </w:t>
        <w:br/>
        <w:t xml:space="preserve">VIG including BACAV [20-30]% [20-30]% [20-30]%  </w:t>
        <w:br/>
        <w:t xml:space="preserve">EBV [10-20]% [10-20]% [10-20]%  </w:t>
        <w:br/>
        <w:t xml:space="preserve">VIG and EBV together [30-40]% [40-50]% [40-50]%  </w:t>
        <w:br/>
        <w:t xml:space="preserve">Together, without BACAV [30-40]% [30-40]% [30-40]%  </w:t>
        <w:br/>
        <w:t xml:space="preserve">UNIQA [10-20]% [10-20]% [10-20]%  </w:t>
        <w:br/>
        <w:t>Generali [10-20]% [10-20]% [10-20]%</w:t>
      </w:r>
    </w:p>
    <w:p>
      <w:r>
        <w:t xml:space="preserve">96. VIG would significantly expand its market leadership through the planned merger and would have a combined market share of [30-40]%, approximately [20-30]% stronger than the strongest competitor, Uniqa.  </w:t>
        <w:br/>
        <w:t xml:space="preserve">97. With an ex-ante HHI of [1,400-1,600] and an HHI increase of [600-800], the intended merger would significantly exceed the a priori unproblematic HHI levels of the horizontal guidelines.  </w:t>
        <w:br/>
        <w:t xml:space="preserve">98. VIG also holds a (non-controlling) stake of 30% in Wüstenrot Versicherung AG, which in turn achieves a market share of [0-5]% in this area. Regardless of how this minority stake is to be assessed in detail, it nevertheless leads to a strengthening of VIG's position compared to the market shares it directly achieves.  </w:t>
        <w:br/>
        <w:t>99. In the market investigation, a majority of competitors described the entire life insurance market in Austria as already highly concentrated. Some competitors specifically expressed concerns regarding the combined market share of the parties after the intended merger. Furthermore, some competitors see the parties as the strongest or second strongest competitors, respectively. A majority of competitors view VIG as the strongest competitor of EBV. According to the market investigation, no market entry by a competitor has been observed in the recent past, nor is such an entry expected in the near future.</w:t>
      </w:r>
    </w:p>
    <w:p>
      <w:r>
        <w:t xml:space="preserve">2.1.1.4 Alternative and Further Segmentations  </w:t>
        <w:br/>
        <w:t xml:space="preserve">100. As mentioned in paragraphs 30 and 31, the life insurance sector could be alternatively or further segmented without protection products. Overall, this would only lead to insignificant changes in the competitive assessment of the intended merger.  </w:t>
        <w:br/>
        <w:t xml:space="preserve">101. In the case of a distinction between individual and group insurance for retirement provision and investment, VIG would have a market share of [30-40]% in individual insurance in 2006, with an ex-ante HHI of [1,400-1,600] and an HHI increase of [600-800]. Further subdivisions of individual insurance into retirement provision products and investment products would lead to insignificant changes in the results. In group insurance, the parties would also have similar market shares, with the premium volume in this area accounting for only about [0-10]% of the total life insurance sector in Austria.  </w:t>
        <w:br/>
        <w:t xml:space="preserve">102. In the case of a distinction between retirement provision products and investment products, VIG would have a slightly stronger market position in retirement provision products with a market share of [40-50]% (investment products: [30-40]%). The ex-ante HHI would be [1,400-1,600], with the HHI increase at [700-900] (investment products: [1,300-1,500] and [400-600]).  </w:t>
        <w:br/>
        <w:t xml:space="preserve">103. An alternative distinction between unit-linked and non-unit-linked products would also have virtually no impact on the competitive assessment. In both areas, VIG would have an identical position with a market share of [30-40]% in 2006. The ex-ante HHI in 2006 would be [1,300-1,500] for unit-linked and [1,400-1,600] for non-unit-linked, with HHI increases of [500-700] and [600-800], respectively.  </w:t>
        <w:br/>
        <w:t>104. In summary, the competitive situation under each of the alternative or further segmentations of the life insurance sector without protection products presents an almost identical picture to that described in Section 2.1.1.3.</w:t>
      </w:r>
    </w:p>
    <w:p>
      <w:r>
        <w:t xml:space="preserve">2.1.1.5 Distribution of Life Insurance  </w:t>
        <w:br/>
        <w:t xml:space="preserve">105. A particular feature of the life insurance sector in Austria is the significant importance of distribution through banks, meaning the distribution of life insurance products through bank branches to bank customers. The market investigation, in which nearly all intermediaries and competitors regard bank distribution as very important, has confirmed this significance of bank distribution and further revealed that this distribution channel is particularly essential for the distribution of retirement provision and investment products. The intermediaries believe that banks currently account for approximately 35% of the distribution of life insurance in Austria. Competitors have estimated this figure in the market investigation to be around 45% on average, with peak values of 75%.  </w:t>
        <w:br/>
        <w:t xml:space="preserve">106. The market investigation has also emphasized the importance of bank distribution for future growth in the Austrian life insurance sector. According to the market investigation, intermediaries expect that especially banks and independent intermediaries will be the most important distribution channels in the future. Growth potentials in the Austrian market, which is overall classified as relatively mature as mentioned in paragraph 88, are primarily seen through impulses for private retirement provision, i.e., in retirement provision and investment products. The market investigation has shown that market participants expect bank distribution to cover a large part of the growth potential. Some competitors believe that bank distribution will account for about 50% of future growth.  </w:t>
        <w:br/>
        <w:t xml:space="preserve">107. Against this background, the market investigation has also highlighted the competitive significance of access to distribution networks and certain distribution channels. In the life insurance sector, this is particularly true for bank distribution, as mentioned in paragraph 105. All competitors identified access to distribution networks as the most important or second most important market entry barrier or expansion barrier in the market investigation. As a result, the market investigation has shown that access to distribution networks, especially to the bank channel, is expected to be a crucial success factor in the life insurance sector in Austria.  </w:t>
        <w:br/>
        <w:t xml:space="preserve">108. As explained in paragraph 6, a significant element of the intended merger is the simultaneous conclusion of a cooperation agreement between VIG and EB. This would lead to VIG distributing its life insurance products in the future not only through Bank Austria Creditanstalt AG but also through EB/Sparkassen in a quasi-exclusive manner, especially since there is also a quasi-exclusive distribution cooperation between BACAV and Bank Austria Creditanstalt AG, among other things, for life insurance products.39  </w:t>
        <w:br/>
        <w:t xml:space="preserve">109. Thus, VIG would have quasi-exclusive access to two of the three major banking groups in Austria for the distribution of its insurance products. In addition to EB/Sparkassen with a market share of around [10-20]%40 in the Austrian retail banking business and Bank Austria Creditanstalt with around [10-20]%41, there is also the third group of Raiffeisen banks. While the Raiffeisen sector collectively accounts for a market share of around [20-30]%42, the fourth force in the Austrian banking market, BAWAG PSK, with a market share of [5-10]%43, is already significantly smaller than the three major banks.  </w:t>
        <w:br/>
        <w:t xml:space="preserve">110. After the intended merger, VIG would thus be able to distribute retirement provision and investment products in the long term in a quasi-exclusive manner through two of the three major banking groups in the Austrian retail banking business. As a result, competitors, apart from the high market shares of VIG, would have very limited access to bank distribution in Austria and would therefore not be able to respond quickly and significantly to VIG. Consequently, due to the merger project, there could be significant implications for the market for retirement provision and investment products in Austria and for future growth.  </w:t>
        <w:br/>
        <w:t xml:space="preserve">39 […]  </w:t>
        <w:br/>
        <w:t xml:space="preserve">40 Market share 2007 for deposits from private individuals in Austria; Source: Austrian National Bank  </w:t>
        <w:br/>
        <w:t xml:space="preserve">41 Comparable data for EB/Sparkassen was not available. The figure refers to the market share in 2005 for deposits from domestic non-banks in Austria. Source: Austrian National Bank  </w:t>
        <w:br/>
        <w:t xml:space="preserve">42 Market share 2007 for deposits from private individuals in Austria; Source: Austrian National Bank  </w:t>
        <w:br/>
        <w:t>43 Comparable data for EB/Sparkassen was not available. The figure refers to the market share in 2007 for deposits from domestic non-banks in Austria. Source: Austrian National Bank</w:t>
      </w:r>
    </w:p>
    <w:p>
      <w:r>
        <w:rPr>
          <w:b/>
        </w:rPr>
        <w:t>[Pages 25–27]</w:t>
      </w:r>
    </w:p>
    <w:p>
      <w:r>
        <w:t xml:space="preserve">Vertriebskanal zu einer erheblichen Beschränkung des wirksamen Wettbewerbs kommen.  </w:t>
        <w:br/>
        <w:t xml:space="preserve">111. As a result, the high market shares of VIG in combination with the very strong position in bank distribution through two of the three major banking groups lead to serious concerns in the market for retirement and investment products in Austria regarding the compatibility of the merger project with the Common Market.  </w:t>
        <w:br/>
        <w:t xml:space="preserve">2.1.1.6 Conclusion on Life Insurance in Austria  </w:t>
        <w:br/>
        <w:t xml:space="preserve">112. From the above analysis of protection products in Austria (paragraphs 90 to 94), it can be concluded that the merger project in the field of protection products in Austria does not give rise to serious concerns regarding its compatibility with the Common Market.  </w:t>
        <w:br/>
        <w:t xml:space="preserve">113. However, the above analysis of the Austrian market for retirement and investment products or parts thereof (paragraphs 95 to 111) gives rise to serious concerns regarding the compatibility of the merger project with the Common Market.  </w:t>
        <w:br/>
        <w:t xml:space="preserve">2.1.2 Life Insurance in Romania, Slovakia, and the Czech Republic  </w:t>
        <w:br/>
        <w:t xml:space="preserve">2.1.2.1 Romania  </w:t>
        <w:br/>
        <w:t xml:space="preserve">114. In Romania, the market for life insurance is currently a relatively small market, which, however, shows very strong growth not only compared to EU member states but also compared to Slovakia and the Czech Republic.  </w:t>
        <w:br/>
        <w:t xml:space="preserve">115. ING is currently the clear market leader in the life insurance sector and would remain so after the intended merger. VIG's market share of the total premium volume for life insurance has been significantly declining in recent years, amounting to [10-20]% in 2006 and [10-20]% in the first three quarters of 2007.  </w:t>
        <w:br/>
        <w:t xml:space="preserve">116. Although the life insurance market in Romania has a moderate concentration with an ex-post HHI of [1,900-2,100] for 2006 and [1,600-1,800] for 2007, the market share increase due to the intended merger would be small. BCR LV had a market share of [0-5]% in 2006 and [5-10]% in 2007, resulting in a moderate HHI increase of [&lt;150] in 2006 and [&lt;150] in 2007, remaining within the areas that are a priori unproblematic according to the Commission's guidelines for assessing horizontal mergers. Furthermore, there are other significant competitors in the Romanian market such as AIG (market share of [10-20]% in 2007), Allianz ([5-10]%), and Generali ([0-5]%). The market investigation has also shown that there is speculation about the upcoming market entry of additional insurance companies.  </w:t>
        <w:br/>
        <w:t xml:space="preserve">117. None of the possible segmentations of the life insurance sector in Romania would lead to competitive concerns due to the intended merger. In a subdivision into unit-linked and non-unit-linked products, there would be no overlaps in unit-linked products. In non-unit-linked products, VIG would have a market share of [10-20]% for 2006, and the increase from the acquisition of BCR LV would amount to [5-10]%. With an HHI of [1,200-1,400] in 2006 and an HHI increase of [140-160], the effects would be significantly below the relevant HHI values of the horizontal guidelines. None of the alternative or further segmentations of the life insurance sector in Romania have led to competitive concerns in the market investigation.  </w:t>
        <w:br/>
        <w:t xml:space="preserve">118. Apart from that, there are also no concerns regarding distribution channels in Romania. While VIG distributes life insurance products exclusively through its own sales force, EBV (BCR LV) offers a large part of its life insurance products in Romania through bank distribution with [&gt;50]%. The market investigation has also not revealed any concerns in this regard.  </w:t>
        <w:br/>
        <w:t xml:space="preserve">119. From the above analysis (paragraphs 114 to 118), it can be concluded that the merger project in the field of life insurance in Romania does not give rise to serious concerns regarding its compatibility with the Common Market.  </w:t>
        <w:br/>
        <w:t xml:space="preserve">2.1.2.2 Slovakia  </w:t>
        <w:br/>
        <w:t xml:space="preserve">120. The life insurance sector in Slovakia had a total premium volume of EUR 853 million in 2007 and shows strong growth compared to the EU15 countries.  </w:t>
        <w:br/>
        <w:t xml:space="preserve">121. VIG's market share in the life insurance sector was [20-30]% in 2007. The intended merger would lead to a market share increase of [&lt;5]%, bringing VIG closer to the current market leader Allianz. With an ex-ante HHI of [1,600-1,800] and an HHI increase of [&lt;150], the effects would be unproblematic according to the relevant HHI values of the horizontal guidelines. Furthermore, other significant competitors such as AIG (market share of [10-20]% in 2007), Generali ([&lt;5]%), ING ([5-10]%), and Uniqa ([&lt;5]%) would be active in this market.  </w:t>
        <w:br/>
        <w:t xml:space="preserve">122. None of the possible segmentations of the life insurance market in Slovakia would lead to competitive concerns due to the intended merger, as the consideration of sub-sectors leads to the same results as that of the overall market for life insurance. The market investigation has also not given rise to competitive concerns.  </w:t>
        <w:br/>
        <w:t xml:space="preserve">123. Apart from that, there are also no concerns regarding distribution channels in Slovakia. While EBV (P-SLSP) distributes life insurance products in Slovakia exclusively through banks, VIG realizes less than [&lt;5]% of its life insurance premiums in Slovakia through this distribution channel. The market investigation has also not revealed any concerns in this regard.  </w:t>
        <w:br/>
        <w:t xml:space="preserve">124. From the above analysis (paragraphs 120 to 123), it can be concluded that the merger project in the field of life insurance in Slovakia does not give rise to serious concerns regarding its compatibility with the Common Market.  </w:t>
        <w:br/>
        <w:t xml:space="preserve">2.1.2.3 Czech Republic  </w:t>
        <w:br/>
        <w:t xml:space="preserve">125. The life insurance market in the Czech Republic had a total premium volume of EUR 1,940 million in 2007 and also shows strong growth compared to the EU15 countries.  </w:t>
        <w:br/>
        <w:t xml:space="preserve">126. VIG's market share in the life insurance sector was [10-20]% in 2007. The intended merger would lead to a market share increase of [10-20]%, bringing VIG nearly to the previous market leader Generali (market share of [20-30]% in 2007), whose acquisition of control over Ceská Pojist'ovna was addressed in case COMP/M.4701 Generali/PPF Insurance Business. With an ex-ante HHI of [1,200-1,400] and an HHI increase of [300-400], the effects would no longer remain within the a priori unproblematic ranges according to the relevant HHI values of the horizontal guidelines. However, other significant competitors such as AIG (market share of [&lt;5]% in 2007), Allianz ([0-5]%), AXA ([0-5]%), ING ([10-20]%), and Uniqa ([0-5]%) would be active in this market.  </w:t>
        <w:br/>
        <w:t xml:space="preserve">127. None of the possible segmentations of the life insurance sector in the Czech Republic would lead to competitive concerns due to the intended merger, as the consideration of sub-sectors leads to the same results as that of the overall market for life insurance. The market investigation has also not given rise to competitive concerns.  </w:t>
        <w:br/>
        <w:t xml:space="preserve">128. The market investigation in case COMP/M.4701, Generali/PPF Insurance Business has confirmed, among other things, that given the currently low market penetration, future growth and market entries can be expected, while significant competitors would remain active in the market. These results regarding the Czech market have been confirmed by the market investigation in the present case.  </w:t>
        <w:br/>
        <w:t>129. Apart from that, there are also no concerns regarding distribution channels in the Czech Republic. While EBV (PCS) distributes life insurance products in</w:t>
      </w:r>
    </w:p>
    <w:p>
      <w:r>
        <w:rPr>
          <w:b/>
        </w:rPr>
        <w:t>[Pages 28–30]</w:t>
      </w:r>
    </w:p>
    <w:p>
      <w:r>
        <w:t>the Czech Republic distributes life insurance products with [&gt;90]% almost exclusively through banks, while VIG realizes less than [0-10]% of its life insurance premiums in the Czech Republic through this distribution channel.49 The market investigation has also not revealed any concerns in this regard.</w:t>
      </w:r>
    </w:p>
    <w:p>
      <w:r>
        <w:t>130. From the above analysis (paragraphs 125 to 129), it can be concluded that the proposed merger in the field of life insurance in the Czech Republic does not give rise to serious doubts as to its compatibility with the Common Market.</w:t>
      </w:r>
    </w:p>
    <w:p>
      <w:r>
        <w:t>2.2 Non-Life Insurance</w:t>
      </w:r>
    </w:p>
    <w:p>
      <w:r>
        <w:t>131. In Romania, the proposed merger leads to horizontally affected markets, in the sense of the implementation regulation in the non-life insurance market overall and particularly in the potential relevant markets for motor vehicle liability insurance, motor vehicle comprehensive insurance, fire insurance, credit insurance, general liability insurance, and accident insurance. However, the project does not lead to affected markets in the area of MAT insurance, as the geographical dimension of this market and possible subdivisions of this market are larger than national. Also, in the area of guarantee products, the project does not lead to affected markets.</w:t>
      </w:r>
    </w:p>
    <w:p>
      <w:r>
        <w:t>132. In both Austria and the Czech Republic, the market for accident insurance is the only horizontally affected market.</w:t>
      </w:r>
    </w:p>
    <w:p>
      <w:r>
        <w:t>2.2.1 Romania</w:t>
      </w:r>
    </w:p>
    <w:p>
      <w:r>
        <w:t>2.2.1.1 Non-Life Insurance in Romania</w:t>
      </w:r>
    </w:p>
    <w:p>
      <w:r>
        <w:t>2.2.1.1.1 Market Shares</w:t>
      </w:r>
    </w:p>
    <w:p>
      <w:r>
        <w:t>133. Considering the Romanian non-life insurance market overall, the market shares of the parties based on gross premium volume are as follows:50</w:t>
      </w:r>
    </w:p>
    <w:p>
      <w:r>
        <w:t xml:space="preserve">2004 2005 2006 2007  </w:t>
        <w:br/>
        <w:t xml:space="preserve">VIG before the merger51 [30-40]% [30-40]% [20-30]% [30-40]%  </w:t>
        <w:br/>
        <w:t xml:space="preserve">BCR SV [0-5]% [5-10]% [5-10]% [5-10]%  </w:t>
        <w:br/>
        <w:t>VIG &amp; BCR SV together [40-50]% [40-50]% [30-40]% [40-50]%</w:t>
      </w:r>
    </w:p>
    <w:p>
      <w:r>
        <w:t>134. As this table shows, the parties achieve a combined market share of more than 40% in a non-further segmented overall market for non-life insurance products through the merger project.</w:t>
      </w:r>
    </w:p>
    <w:p>
      <w:r>
        <w:t>135. The only remaining competitors with market shares in the overall market for non-life insurance that exceed or correspond to the market share of VIG's smallest subsidiary in Romania, Unita, in 2007 ([5-10]%), are Allianz-Tiriac ([20-30]%) and Asiban ([5-10]%). All other market participants achieved market shares of at most [5-10]% in 2007.</w:t>
      </w:r>
    </w:p>
    <w:p>
      <w:r>
        <w:t>2.2.1.1.2 Distribution</w:t>
      </w:r>
    </w:p>
    <w:p>
      <w:r>
        <w:t>136. The overall picture regarding the strong position of the parties in the overall market for non-life insurance as well as in individual segments of this market (see below) is further reinforced by a number of considerations regarding the distribution of non-life insurance products in Romania.</w:t>
      </w:r>
    </w:p>
    <w:p>
      <w:r>
        <w:t>137. The market investigation has revealed serious concerns that VIG would gain a particularly strong position regarding all three essential distribution channels through the merger, namely (i) due to the strong external sales force of all three subsidiaries of VIG (Asirom, Omniasig, and Unita), which distribute not only their own products but also the products of their respective sister companies, (ii) due to the strong position of both VIG and BCR SV in relation to insurance brokers and agents, and (iii) due to access to the largest Romanian bank distribution, Banca Comerciala Romana (BCR). Cumulatively, these advantages of the merged entity would make it difficult for potential competitors to enter the market or hinder effective competition from existing competitors. The market investigation has confirmed the particular importance of access to distribution channels.52</w:t>
      </w:r>
    </w:p>
    <w:p>
      <w:r>
        <w:t>138. With regard to insurance brokers and agents, the possible role of competition concerning the level of commissions to be paid by the respective insurers to brokers and agents must also be considered. As noted in the final report of the Commission's sector inquiry in the area of corporate insurance, brokers often act both as advisors to their clients and as a distribution channel for insurers, and this dual role can cause a conflict of interest between objective customer advice and their own business interests. The interests of agents clearly align (at least in the short term) with those of the insurers. Therefore, a better or cheaper product through these distribution channels will not necessarily achieve market breakthrough solely because of its apparent advantages for the end consumer.53</w:t>
      </w:r>
    </w:p>
    <w:p>
      <w:r>
        <w:t>139. In terms of banking operations, VIG would have a strong position after the merger through its distribution cooperation with BCR, the largest retail bank in Romania (with approximately [20-30]% of all banking assets in the Romanian market). While this alone does not raise concerns, the distribution cooperation of VIG with BCR represents an additional barrier to expansion for competitors, especially since EBV currently seems to generate little revenue in Romania in the area of non-life insurance through the banking channel and bank distribution in Romania is still underdeveloped at only 10% of the total market volume compared to other member states.</w:t>
      </w:r>
    </w:p>
    <w:p>
      <w:r>
        <w:t>140. In this respect, it is expected that VIG's strong position after the merger regarding all essential distribution channels not only enables it to exploit its strong market position to its own advantage but also offers VIG new cross-selling opportunities, thereby further strengthening its market position even in insurance classes where it is currently less strongly represented. At the same time, this strong position of VIG in all essential distribution channels represents a significant market entry barrier and</w:t>
      </w:r>
    </w:p>
    <w:p>
      <w:r>
        <w:t>52 This was also emphasized in the Commission's final report on the sector inquiry in the area of corporate insurance, although it does not directly relate to Romania and retail markets.</w:t>
      </w:r>
    </w:p>
    <w:p>
      <w:r>
        <w:t>53 According to the market study by Axco, which was attached in excerpts to the merger notification (Annex 46 to Form CO), it is common practice to pay board members and other executives in Romania a cash discount on their premiums, which raises additional questions regarding conflicts of interest in this market.</w:t>
      </w:r>
    </w:p>
    <w:p>
      <w:r>
        <w:rPr>
          <w:b/>
        </w:rPr>
        <w:t>[Pages 31–33]</w:t>
      </w:r>
    </w:p>
    <w:p>
      <w:r>
        <w:t>ein Hindernis für das weitere Wachstum der Wettbewerber im rumänischen Nicht-Lebensversicherungsmarkt dar.</w:t>
      </w:r>
    </w:p>
    <w:p>
      <w:r>
        <w:t>141. The fact that the Romanian market is experiencing rapid growth, which could make market entry particularly attractive, can only partially alleviate the Commission's concerns. Although there have been a number of market entries in recent years, these have mostly taken the form of acquisitions of existing Romanian insurance companies by foreign companies54, resulting in little change in market concentration or even an increase, particularly in the case of the acquisition of several Romanian insurance companies by the same foreign company. This is also reflected in the relative stability of the HHI and individual market shares over the last three to four years.</w:t>
      </w:r>
    </w:p>
    <w:p>
      <w:r>
        <w:t>142. Finally, the market investigation has also shown that an established financial company name, as in a number of other new member states in the field of financial services, is also a particularly important factor for customer choice in Romania, especially in the case of private customers and smaller business clients. In this respect, the investments required to build sufficient brand recognition should be regarded as another significant barrier to market entry.</w:t>
      </w:r>
    </w:p>
    <w:p>
      <w:r>
        <w:t>143. As will be explained in detail below, these general considerations regarding the overall market for non-life insurance and the general position of the merged entity in the Romanian non-life insurance market, in light of the partially significant combined market shares of the parties in the area of motor vehicle insurance or motor vehicle liability insurance and motor vehicle comprehensive insurance in Romania, give rise to serious concerns regarding the compatibility of the merger project with the common market.</w:t>
      </w:r>
    </w:p>
    <w:p>
      <w:r>
        <w:t>2.2.1.2 Segments of Non-Life Insurance in Romania</w:t>
      </w:r>
    </w:p>
    <w:p>
      <w:r>
        <w:t>2.2.1.2.1 Motor Vehicle Insurance, Property and Elemental Insurance in Romania (CSA Classes III, VIII, IX, and X)</w:t>
      </w:r>
    </w:p>
    <w:p>
      <w:r>
        <w:t>144. The following table shows the combined market shares of the parties as well as those of the three next competitors in the three largest segments of non-life insurance in Romania for the year 2007.</w:t>
      </w:r>
    </w:p>
    <w:p>
      <w:r>
        <w:t>54 In addition to VIG itself, which entered the Romanian market through the acquisition of local insurance companies, Groupama acquired BT Asigurari in 2007 and is currently in negotiations for the acquisition of Asiban.</w:t>
      </w:r>
    </w:p>
    <w:p>
      <w:r>
        <w:t>Parties Competitor Competitor Competitor</w:t>
        <w:br/>
        <w:t>1 2 3</w:t>
        <w:br/>
        <w:t>Motor Vehicle Liability [50-60]% Allianz: Astra: BT</w:t>
        <w:br/>
        <w:t>[10-20]% [10-20]% Insurance:</w:t>
        <w:br/>
        <w:t>-VIG: [5-10]%</w:t>
        <w:br/>
        <w:t>[40-50]%;</w:t>
        <w:br/>
        <w:t>- BCR: [5-10]%</w:t>
        <w:br/>
        <w:t>HHI before the merger: [2,100-2,300]</w:t>
        <w:br/>
        <w:t>HHI Delta: [600-800]</w:t>
        <w:br/>
        <w:t>Combined market share of the parties without Unita: [30-40]%</w:t>
        <w:br/>
        <w:t>HHI Delta upon disposal of Unita: [(-100)-(-300)]</w:t>
        <w:br/>
        <w:t>Motor Vehicle Comprehensive [30-40]% Allianz: Asiban: Generali:</w:t>
        <w:br/>
        <w:t>[20-30]% [5-10]% [5-10]%</w:t>
        <w:br/>
        <w:t>- VIG:</w:t>
        <w:br/>
        <w:t>[30-40]%;</w:t>
        <w:br/>
        <w:t>- BCR: [5-10]%</w:t>
        <w:br/>
        <w:t>HHI before the merger: [1,800-2,000]</w:t>
        <w:br/>
        <w:t>HHI Delta: [400-600]</w:t>
        <w:br/>
        <w:t>Combined market share of the parties without Unita: [30-40]%</w:t>
        <w:br/>
        <w:t>HHI Delta upon disposal of Unita: [~0]</w:t>
        <w:br/>
        <w:t>Motor Vehicle [40-50]% Allianz: Asiban: Generali:</w:t>
        <w:br/>
        <w:t>Insurance [20-30]% [5-10]% [5-10]%</w:t>
        <w:br/>
        <w:t>overall - VIG:</w:t>
        <w:br/>
        <w:t>[30-40]%</w:t>
        <w:br/>
        <w:t>- BCR: [5-10]%</w:t>
        <w:br/>
        <w:t>Combined market share of the parties without Unita: [30-40]%</w:t>
        <w:br/>
        <w:t>Fire [40-50]% Allianz: Generali: Asiban:</w:t>
        <w:br/>
        <w:t>[20-30]% [5-10]% [5-10]%</w:t>
        <w:br/>
        <w:t>- VIG:</w:t>
        <w:br/>
        <w:t>[30-40]%;</w:t>
        <w:br/>
        <w:t>- BCR: [5-10]%</w:t>
        <w:br/>
        <w:t>HHI before the merger: [1,700-1,900]</w:t>
        <w:br/>
        <w:t>HHI Delta: [400-600]</w:t>
        <w:br/>
        <w:t>Combined market share of the parties without Unita: [30-40]%</w:t>
        <w:br/>
        <w:t>HHI Delta upon disposal of Unita: [&lt;0]</w:t>
        <w:br/>
        <w:t>Property and [30-40]% Allianz: AIG Romania: Generali:</w:t>
        <w:br/>
        <w:t>Elemental Insurance - [20-30]% [5-10]% [5-10]%</w:t>
        <w:br/>
        <w:t>overall - VIG:</w:t>
        <w:br/>
        <w:t>[20-30]%</w:t>
        <w:br/>
        <w:t>- BCR: [5-10]%</w:t>
        <w:br/>
        <w:t>Combined market share of the parties without Unita: [30-40]%</w:t>
      </w:r>
    </w:p>
    <w:p>
      <w:r>
        <w:t>2.2.1.2.1.1 Motor Vehicle Liability in Romania (CSA Class X)</w:t>
      </w:r>
    </w:p>
    <w:p>
      <w:r>
        <w:t>145. The HHI in the motor vehicle liability segment is already [2,100-2,300] points before the merger. The merger further increases the concentration of this market. The HHI Delta in this market is [600-800]. Thus, the HHI values at which a merger appears a priori unproblematic according to the horizontal guidelines are far exceeded. After the merger, the merged entity would be the clear market leader in this market with a market share four times that of the next competitor.</w:t>
      </w:r>
    </w:p>
    <w:p>
      <w:r>
        <w:t>146. Although there is a relatively greater tendency towards price competition in this market segment, motor vehicle liability plays a particularly important role for customers, insurance brokers, and other intermediaries compared to other types of non-life insurance, as it is a legally required insurance.</w:t>
      </w:r>
    </w:p>
    <w:p>
      <w:r>
        <w:t>147. Given the high combined market share of the parties of more than 50% in this market segment, combined with the characteristics of the Romanian non-life insurance market presented in paragraphs 136 to 143 and the advantages of the merged entity regarding the distribution of non-life insurance products in Romania, the merger project in the area of motor vehicle liability insurance in Romania therefore gives rise to serious concerns regarding its compatibility with the Common Market.</w:t>
      </w:r>
    </w:p>
    <w:p>
      <w:r>
        <w:t>2.2.1.2.1.2 Motor Vehicle Comprehensive Insurance in Romania (CSA Class III)</w:t>
      </w:r>
    </w:p>
    <w:p>
      <w:r>
        <w:t>148. The HHI in the motor vehicle comprehensive insurance segment is [1,800-2,000] points before the merger. The Delta is [400-600] points. This market, in which the parties are clear market leaders after the merger, is therefore also very concentrated. The HHI values at which a merger appears a priori unproblematic according to the horizontal guidelines are also exceeded in this market. The strong position of the parties in this insurance class is seen as complementary to their even more significant position in the motor vehicle liability market, with the motor vehicle liability market being the adjacent market from which competitors could most likely attempt to challenge the parties' position in the motor vehicle comprehensive market. Overall, the picture that emerges for the parties in these two main segments of the Romanian non-life insurance market is one of particular strength. In this respect, it should finally be noted that in 2007, 72% of all premiums in the overall non-life insurance market in Romania were accounted for by the two motor vehicle classes combined.</w:t>
      </w:r>
    </w:p>
    <w:p>
      <w:r>
        <w:t>149. Given the high combined market share of the parties of [40-50]% in this market segment, combined with the characteristics of the Romanian non-life insurance market presented in paragraphs 136 to 143, the advantages of the merged entity regarding the distribution of non-life insurance products in Romania, as well as the connection of motor vehicle comprehensive insurance with motor vehicle liability, the merger project also gives rise to serious concerns regarding its compatibility with the Common Market in the area of motor vehicle comprehensive insurance.</w:t>
      </w:r>
    </w:p>
    <w:p>
      <w:r>
        <w:t>2.2.1.2.1.3 Property and Elemental Insurance/Fire Insurance in Romania (CSA Classes VIII and IX)</w:t>
      </w:r>
    </w:p>
    <w:p>
      <w:r>
        <w:rPr>
          <w:b/>
        </w:rPr>
        <w:t>[Pages 34–36]</w:t>
      </w:r>
    </w:p>
    <w:p>
      <w:r>
        <w:t>150. If fire insurance were to be considered a separate relevant market, the parties would have market shares in this market comparable to their market shares in the field of motor vehicle comprehensive insurance in Romania. With 11% of all premiums in the non-life insurance sector in Romania, fire insurance is the third most important segment of the Romanian non-life insurance market.</w:t>
      </w:r>
    </w:p>
    <w:p>
      <w:r>
        <w:t>151. When considering insurance classes VIII and IX together, a slightly different picture emerges. In this case, the parties would have a slightly lower combined market share of [30-40]%, with the market share increase amounting to [5-10]%.</w:t>
      </w:r>
    </w:p>
    <w:p>
      <w:r>
        <w:t>152. Regardless of the exact market definition, the market share increase is more than compensated by the parties' commitment to sell Unita.</w:t>
      </w:r>
    </w:p>
    <w:p>
      <w:r>
        <w:t>2.2.1.2.2 Consumer Credit Insurance in Romania (CSA Class XIV)</w:t>
      </w:r>
    </w:p>
    <w:p>
      <w:r>
        <w:t>153. In assessing the competitive situation in this segment, it should be noted that the CSA data on premium volume in the case of BCR SV, as well as in some other cases, includes intra-group transactions, i.e., revenues generated between a bank and the insurance company affiliated with it within the same group. However, this type of transaction should be disregarded when assessing market shares, as these are not transactions in the free market. Regarding BCR SV, it should also be noted that the relevant intra-group contracts were terminated in the years 2007 and 2008.</w:t>
      </w:r>
    </w:p>
    <w:p>
      <w:r>
        <w:t>154. Given these circumstances, the Commission's competitive assessment has focused on determining the extent to which the CSA data includes similar intra-group transactions of the parties' competitors and excluding these from the market share calculations.</w:t>
      </w:r>
    </w:p>
    <w:p>
      <w:r>
        <w:t>155. Based on the data for 2007, this correction seems to particularly affect Garanta Asigurari and BT Asigurari, in that Garanta Asigurari acts as the insurer for the affiliated Banca Romaneasca and BT Asigurari was until recently a subsidiary of Banca Transilvania, Romania's fifth-largest bank by bank assets in 2006.55 Although BT Asigurari has since been acquired by Groupama and may now consider ongoing contracts with the former parent company as external revenues, the Commission has opted for a conservative approach and excluded the relevant revenues from the market share calculations below. Furthermore, for similar reasons, the Commission has also disregarded revenues generated by Uniqa and OTP. However, these two competitors are relatively insignificant market players.56 From the above considerations, the following picture emerges, which likely even overestimates the parties' market shares:</w:t>
      </w:r>
    </w:p>
    <w:p>
      <w:r>
        <w:t>2005 2006 2007</w:t>
        <w:br/>
        <w:t>VIG before the merger [30-40]% [20-30]% [30-40]%</w:t>
        <w:br/>
        <w:t>BCR SV [&lt;5]% [5-10]% [5-10]%</w:t>
        <w:br/>
        <w:t>VIG &amp; BCR SV together [30-40]% [20-30]% [40-50]%</w:t>
        <w:br/>
        <w:t>Asiban [30-40]% [20-30]% [30-40]%</w:t>
        <w:br/>
        <w:t>Garanta [&lt;5]% [20-30]% [5-10]%</w:t>
        <w:br/>
        <w:t>Allianz Tiriac [10-20]% [10-20]% [&lt;5]%</w:t>
        <w:br/>
        <w:t>Generali [&lt;5]% [10-20]% [&lt;5]%</w:t>
        <w:br/>
        <w:t>Carpatica [&lt;5]%</w:t>
        <w:br/>
        <w:t>Others [&lt;5]% [&lt;5]% [&lt;5]%</w:t>
      </w:r>
    </w:p>
    <w:p>
      <w:r>
        <w:t>156. Based on these figures, this market segment appears to be characterized after the merger by two main competitors, namely VIG with a market share of [40-50]% and Asiban with a market share of [30-40]%. Additionally, some smaller competitors would remain in this market segment. In this context, the supply of other group-affiliated companies by some competitors also plays a role, even though the corresponding revenues, as outlined in paragraph 154, have not been included in the market share calculation. BCR has supplied both its former parent company and some banks not affiliated with its own group with credit insurance. Garanta could also benefit from the know-how acquired through internal transactions for expanding its market share in supplying credit insurance to external market parties. The sale of Unita has little impact on this market segment, as Unita is only marginally active in the field of credit insurance.</w:t>
      </w:r>
    </w:p>
    <w:p>
      <w:r>
        <w:t>157. Despite the obviously high market concentration, the Commission, after a thorough examination of the specific market situation, has concluded that the merger project in the Romanian market for consumer credit insurance does not give rise to serious competitive concerns regarding its compatibility with the Common Market.</w:t>
      </w:r>
    </w:p>
    <w:p>
      <w:r>
        <w:t>158. This conclusion primarily arises from the fact that market shares in this segment have proven to be very volatile and that the main customers of the parties have terminated their contracts with the parties, which reduces the above-listed market share of the parties after the merger well below the threshold at which serious concerns would be indicated.</w:t>
      </w:r>
    </w:p>
    <w:p>
      <w:r>
        <w:t>159. In this regard, it should first be noted that the demand side of this market is highly concentrated. In 2007, BCR SV had two large bank customers, which together accounted for [&gt;75]% of the total premium volume of BCR SV in the credit insurance sector. Specifically, this concerns OTP Bank, which alone accounted for […]% of the premiums, and […], which accounted for another […]% of the premium volume of BCR SV. Both contracts have recently been terminated. Overall, the banking segment accounted for [&gt;80]% of the premium volume of BCR SV in this market. Omniasig (VIG) had [5-10] bank customers in 2007, with the largest customer, […], accounting for […]%, the second-largest customer, […], accounting for […]%, and the third-largest customer, […], accounting for […]% of the total premium volume of Omniasig in this market segment [in total &gt;70% of the total premium volume of Omniasig]. These three contracts have also been terminated. Overall, the banking segment accounted for [&gt;90]% of the premium volume of Omniasig in this market in 2007, so that contracts with a total of only […] leasing companies in 2007 represent an insignificant share of Omniasig's business activities, and there are no significant overlaps between the parties regarding this type of customer.</w:t>
      </w:r>
    </w:p>
    <w:p>
      <w:r>
        <w:t>160. Furthermore, it should be noted that the five most important external customers of the merged entity in 2007, all of whom have terminated their contracts with the parties, accounted for more than [60-80]% of the total premium volume of the merged entity in this market segment as well as more than [20-40]% of the total volume of this market (excluding intra-group revenues).</w:t>
      </w:r>
    </w:p>
    <w:p>
      <w:r>
        <w:t>161. Finally, several other arguments suggest that the merger project in this market segment does not give rise to competitive concerns: (1) The very specific nature of the affected insurance and the size and expertise of the customers, which are primarily credit institutions, suggest that customers in this market segment have a certain degree of bargaining power.57 (2) In this market, distribution channels do not play a significant role, as credit insurance is offered directly to customers without mediation by brokers or other intermediaries. (3) The exercise of market power is further restricted by the possibility of self-supply as well as the availability of alternative solutions. In this regard, it should finally be noted that the distribution cooperation with BCR Bank does not grant the merged entity any additional market power after the merger.58</w:t>
      </w:r>
    </w:p>
    <w:p>
      <w:r>
        <w:t xml:space="preserve">162. Furthermore, the market investigation for this market segment has not revealed any concerns. Against this background, there are no serious concerns regarding the merger project in the market segment of consumer credit insurance in Romania.  </w:t>
        <w:br/>
        <w:t xml:space="preserve">57 See Horizontal Guidelines, OJ C 31, 5.2.2004, §§ 64f.  </w:t>
        <w:br/>
        <w:t>58 According to the provisions of the distribution agreement between VIG and EB, BCR, as a subsidiary of EB in Romania, has incentives to cover its own demand for insurance products through VIG. However, there is no obligation to conclude corresponding contracts in the credit insurance sector. The distribution agreement only obliges EB for each country to source […]% of its total demand for insurance products from VIG, whereby these […]% do not necessarily have to include credit insurance contracts. Furthermore, this obligation only exists to the extent that VIG offers the corresponding insurances on market-conform conditions.</w:t>
      </w:r>
    </w:p>
    <w:p>
      <w:r>
        <w:rPr>
          <w:b/>
        </w:rPr>
        <w:t>[Pages 37–39]</w:t>
      </w:r>
    </w:p>
    <w:p>
      <w:r>
        <w:t xml:space="preserve">2.2.1.2.3 General Liability Insurance in Romania (CSA Class XIII)  </w:t>
        <w:br/>
        <w:t xml:space="preserve">163. The situation in the market for general liability insurance is as follows.  </w:t>
        <w:br/>
        <w:t xml:space="preserve">2004 2005 2006 2007  </w:t>
        <w:br/>
        <w:t xml:space="preserve">VIG before the merger59 [20-30]% [20-30]% [20-30]% [20-30]%  </w:t>
        <w:br/>
        <w:t xml:space="preserve">BCR SV [0-5]% [0-5]% [0-5]% [5-10]%  </w:t>
        <w:br/>
        <w:t xml:space="preserve">VIG &amp; BCR SV together [20-30]% [20-30]% [20-30]% [20-30]%  </w:t>
        <w:br/>
        <w:t xml:space="preserve">VIG &amp; BCR SV, excluding Unita [20-30]% [20-30]% [20-30]% [20-30]%  </w:t>
        <w:br/>
        <w:t xml:space="preserve">HHI before the merger [1.200-1.400] [1.200-1.800] [1.600-1.700] [1.500-1.700]  </w:t>
        <w:br/>
        <w:t xml:space="preserve">HHI Delta [140-160] [200-220] [160-180] [260-280]  </w:t>
        <w:br/>
        <w:t xml:space="preserve">HHI Delta considering the commitment (sale of Unita) [120-140] [80-100] [90-110] [130-150]  </w:t>
        <w:br/>
        <w:t xml:space="preserve">164. The degree of market concentration in this segment is therefore moderate. Furthermore, the market investigation did not reveal any indications of special circumstances that could raise competitive concerns regarding the merger project in this segment, especially since Allianz would remain the market leader in this market segment after the merger with a market share of slightly over [20-30]%, even if the promised sale of Unita did not take place. Additionally, four other competitors with market shares of more than [5-10]% and a number of smaller insurers are active in this market segment. Finally, the HHI Delta remains, at least in the case of the promised sale of Unita, below the thresholds that would normally raise competitive concerns. In this context, there are no serious concerns regarding the compatibility of the merger project with the Common Market in relation to the market segment of general liability insurance in Romania.  </w:t>
        <w:br/>
        <w:t xml:space="preserve">2.2.1.2.4 Accident Insurance in Romania (CSA Class I)  </w:t>
        <w:br/>
        <w:t xml:space="preserve">165. In the area of accident insurance, VIG's market share in 2007 was [20-30]%. With the merger, an additional [0-5]% would be added (whereby the market share increase would reduce to [&lt;5]% after the sale of Unita). The market shares in this market segment have recently proven to be relatively unstable. For instance, VIG had a significantly lower market share of only [10-20]% in 2006. Several competitors are also active in this market segment, with market shares of around [10-20]% or more (Allianz, Astra, AIG, and, in 2006, also Carpatica and Garanta, whose market share in 2007 was only [&lt;5]%). Additionally, a number of smaller competitors also offer this class of insurance. The gross premium volume of Asito, Gerroma, Generali, Asitrans, Interamerican, and Asiban exceeds the amount of EUR […] and thus the gross premium volume of Unita. Given these circumstances, there are no serious concerns regarding the compatibility of the merger project with the Common Market in relation to the market segment of accident insurance in Romania.  </w:t>
        <w:br/>
        <w:t xml:space="preserve">2.2.2 Austria and Czech Republic  </w:t>
        <w:br/>
        <w:t xml:space="preserve">2.2.2.1 Austria - Accident Insurance  </w:t>
        <w:br/>
        <w:t xml:space="preserve">166. The market segment of accident insurance is only slightly affected by the merger project in Austria. VIG's market share in this segment was [10-20]% in 2007, and the acquisition of EBV leads to only a small market share increase of [&lt;3]%. After the sale of BACAV, VIG's market share would even decrease to [10-20]%. Furthermore, the market behavior of the parties is constrained by three other strong competitors (Uniqa with [20-30]%, Generali with [10-20]%, and Allianz with [10-20]% market share) as well as at least four other competitors (Zürich, Grawe, Merkur, and Oberösterreichische), whose market shares exceed that of EBV before the merger. Given these circumstances, there are no serious concerns regarding the compatibility of the merger project with the Common Market in relation to the market segment of accident insurance in Austria.  </w:t>
        <w:br/>
        <w:t xml:space="preserve">2.2.2.2 Czech Republic - Accident Insurance  </w:t>
        <w:br/>
        <w:t xml:space="preserve">167. Similar to Austria, the market segment of accident insurance in the Czech Republic is only slightly affected by the merger project. VIG's market share in this segment was [10-20]% in 2007, and the acquisition of EBV leads to only a small market share increase of [&lt;3]%. Given this small market share increase, there are no serious concerns regarding the compatibility of the merger project with the Common Market in relation to the market segment of accident insurance in the Czech Republic.  </w:t>
        <w:br/>
        <w:t xml:space="preserve">3. Conclusion  </w:t>
        <w:br/>
        <w:t xml:space="preserve">168. For the reasons mentioned above, there are serious concerns in Austria regarding life insurance with savings and investment characteristics, as well as in Romania regarding the market for motor vehicle insurance and the markets for motor vehicle liability and motor vehicle comprehensive insurance concerning the compatibility of the intended merger with the Common Market.  </w:t>
        <w:br/>
        <w:t xml:space="preserve">V. COMMITMENTS  </w:t>
        <w:br/>
        <w:t xml:space="preserve">169. To address the serious concerns regarding the planned merger, the parties offered commitments to the Commission on May 27, 2008, in accordance with Article 6(2) of the Merger Control Regulation, and clarified them on June 11, 2008 (in their final version, the "Commitments"). The complete text of these structural commitments is attached to this decision as an integral part.  </w:t>
        <w:br/>
        <w:t xml:space="preserve">1. Summary of the Commitments  </w:t>
        <w:br/>
        <w:t xml:space="preserve">170. The commitments proposed by the parties consist of two separate disposals of controlling share packages in two subsidiaries of VIG. These involve the complete disposal of all shares held by VIG in each of one insurance company based in Austria and Romania. The commitments can be summarized as follows:  </w:t>
        <w:br/>
        <w:t xml:space="preserve">• Disposal of all shares held by VIG (60.54% of the share capital) of Bank Austria Creditanstalt Versicherungen AG, Vienna, by VIG. For this purpose, VIG has already exercised a sale option on […] for 45,485 shares of BACAV (50.54% of the share capital), which will transfer to ERGO International AG, Düsseldorf, a subsidiary of Münchener-Rückversicherungs-Gesellschaft Aktiengesellschaft in Munich, on […]. Furthermore, VIG will exercise another sale option for the remaining 9,001 shares (10% of the share capital + 1 share) of Bank Austria Creditanstalt Versicherungen AG by no later than […], and transfer these shares to ERGO International AG, Düsseldorf, on […].  </w:t>
        <w:br/>
        <w:t xml:space="preserve">• Disposal of 100% of the share capital of Unita Vienna Insurance Group S.A., Bucharest.  </w:t>
        <w:br/>
        <w:t xml:space="preserve">2. Assessment of the Commitments  </w:t>
        <w:br/>
        <w:t xml:space="preserve">171. Regarding the market for life insurance with retirement and investment characteristics in Austria, the disposal of shares in BACAV by VIG, as described in Section 2.1.1.3, would significantly reduce the market share increase that would arise from the intended merger from [10-20]% to [0-5]%. The combined market share would thus still amount to [30-40]%. The HHI would increase by [200-250] points instead of [600-800] points, reaching a value of [1.700-1.900] instead of [2.100-2.300]. Thus, the effects would remain below the relevant HHI values of the horizontal guidelines.  </w:t>
        <w:br/>
        <w:t xml:space="preserve">172. In particular, however, the commitment would provide ERGO as the acquirer access to the distribution of life insurance through Bank Austria Creditanstalt AG and thus to a significant part of bank distribution in Austria. This enables the buyer to occupy this distribution channel, which is essential for future growth in this market, and also significantly reduces the barriers to expansion for this competitor.  </w:t>
        <w:br/>
        <w:t>173. Regarding the market for motor vehicle insurance and the markets for motor vehicle liability and motor vehicle comprehensive insurance in Romania, the disposal of shares in Unita by VIG, as outlined in Section 2.2.1.2.1</w:t>
      </w:r>
    </w:p>
    <w:p>
      <w:r>
        <w:rPr>
          <w:b/>
        </w:rPr>
        <w:t>[Pages 40–42]</w:t>
      </w:r>
    </w:p>
    <w:p>
      <w:r>
        <w:t>173. Regarding the market for motor vehicle insurance or the markets for motor vehicle liability and motor vehicle comprehensive insurance in Romania, the divestiture of the shares in Unita by VIG, as can be seen from the market share tables depicted in Section 2.2.1.2.1, would nearly completely offset the market share increase that would arise from the intended merger. In the motor vehicle liability insurance market, the market share decreases by [0-5]% compared to the situation prior to the merger to [3-40]%, and the HHI decreases by [200-250] points to [1,900-2,100] points. In the market segment where the parties would achieve the strongest market position as a result of the merger, the market share increase is thus more than compensated. In the motor vehicle comprehensive insurance market, the divestiture of Unita results in an unchanged market share of [30-40]% and a negligible HHI increase of [0-10] points to [1,900-2,100] points. Furthermore, the divestiture of Unita would be associated with access to a significant distribution network in Romania. Unita is strongly involved in direct sales as well as sales through agents in Romania. A significant portion of its products is also distributed through brokers. Finally, it also has access to the banking channel.</w:t>
      </w:r>
    </w:p>
    <w:p>
      <w:r>
        <w:t>174. The market test of the commitments has shown that the overwhelming majority of market participants consider the offered commitments suitable to eliminate the competition concerns arising from the merger. Both BACAV and Unita are assessed as viable companies. In particular, Unita is perceived as a relatively independent unit within VIG. A divestiture of further related activities or business units or any other additional measures were deemed unnecessary by market participants for both BACAV and Unita.</w:t>
      </w:r>
    </w:p>
    <w:p>
      <w:r>
        <w:t>175. The parties have credibly demonstrated that suitable buyers can be found for both the shares in BACAV and Unita. Regarding Unita, for which VIG has already initiated a sales process, the commitments contain the usual criteria for the Commission's approval of the acquirer.</w:t>
      </w:r>
    </w:p>
    <w:p>
      <w:r>
        <w:t>176. For the divestiture of BACAV, it is already established due to the option agreement that ERGO is to acquire the shares. The Commission has already verified in this procedure that ERGO, as an internationally active insurance group, is independent of the parties, possesses the necessary financial resources, and has the experience and knowledge to manage BACAV, and has the incentives to continue BACAV as a viable and active force in the Austrian market for life insurance products with investment and retirement character.</w:t>
      </w:r>
    </w:p>
    <w:p>
      <w:r>
        <w:t>177. The Commission considers the commitments sufficient to eliminate serious competition concerns regarding the compatibility of the merger with the Common Market. The commitments enable the respective acquirer to effectively compete in the respective markets with the merged entity as well as with other insurers.</w:t>
      </w:r>
    </w:p>
    <w:p>
      <w:r>
        <w:t>178. To ensure compliance with the commitments by the parties, the Commission attaches conditions and obligations to this decision. The commitments in Sections B and D constitute conditions of this decision, as only through their full implementation can the necessary changes to eliminate the serious concerns of the Commission in the affected market be achieved. The remaining commitments represent obligations, as they concern the implementation measures required to fulfill the necessary steps.</w:t>
      </w:r>
    </w:p>
    <w:p>
      <w:r>
        <w:t>VI. CONCLUSION</w:t>
      </w:r>
    </w:p>
    <w:p>
      <w:r>
        <w:t>179. For these reasons, the Commission has decided to declare the merger in its modified form by the commitments compatible with the Common Market and the EEA Agreement. This decision is based on Article 6(1)(b) and paragraph 2 of the Merger Control Regulation.</w:t>
      </w:r>
    </w:p>
    <w:p>
      <w:r>
        <w:t>For the Commission</w:t>
        <w:br/>
        <w:t>(signed)</w:t>
        <w:br/>
        <w:t>Danuta Hübner</w:t>
        <w:br/>
        <w:t>Member of the Commission</w:t>
      </w:r>
    </w:p>
    <w:p>
      <w:r>
        <w:rPr>
          <w:b/>
        </w:rPr>
        <w:t>[Pages 43–45]</w:t>
      </w:r>
    </w:p>
    <w:p>
      <w:r>
        <w:t xml:space="preserve">COMP/M.5075 – VIG/EBV NON-CONFIDENTIAL VERSION  </w:t>
        <w:br/>
        <w:t xml:space="preserve">BACAV Closing II: the transfer of ownership of 9,001 shares of BACAV, which correspond to 10% plus one share of the share capital of BACAV, by Wiener Städtische to ERGO.  </w:t>
        <w:br/>
        <w:t xml:space="preserve">BACAV Board: the current board of BACAV, i.e., the gentlemen […].  </w:t>
        <w:br/>
        <w:t xml:space="preserve">Effective Date: date of issuance of the decision.  </w:t>
        <w:br/>
        <w:t xml:space="preserve">ERGO: ERGO International AG, a stock corporation established under German law with its registered office in Düsseldorf and business address at Victoriaplatz 2, D-40198 Düsseldorf, registered in the commercial register of the Düsseldorf District Court under number HRB 40871.  </w:t>
        <w:br/>
        <w:t xml:space="preserve">First Disposal Period: period of […] months from the effective date.  </w:t>
        <w:br/>
        <w:t xml:space="preserve">Hold Separate Manager: a person appointed by Wiener Städtische for the business to be disposed of who takes over the management of ongoing business affairs under the supervision of the Monitoring Trustee.  </w:t>
        <w:br/>
        <w:t xml:space="preserve">Buyer: the natural/legal person approved by the Commission as the buyer of UNITA in accordance with the provisions of Section D.  </w:t>
        <w:br/>
        <w:t xml:space="preserve">Personnel: the entirety of the personnel currently employed in the business to be disposed of, including key personnel, employees seconded to the business to be disposed of, temporary staff, and additional personnel, as listed in Annexes 1 and 2.  </w:t>
        <w:br/>
        <w:t xml:space="preserve">Key Personnel: all personnel necessary for maintaining the viability and competitiveness of the business to be disposed of, as described in Schedules 1 and 2.  </w:t>
        <w:br/>
        <w:t xml:space="preserve">Trustee: Monitoring Trustee and Disposal Trustee.  </w:t>
        <w:br/>
        <w:t xml:space="preserve">Trustee Disposal Period: the period of […] months after the end of the first Disposal Period.  </w:t>
        <w:br/>
        <w:t xml:space="preserve">Monitoring Trustee: one or more natural or legal persons independent of Wiener Städtische, who have been approved by the Commission and appointed by Wiener Städtische, tasked with monitoring compliance with the conditions and obligations attached to the decision by Wiener Städtische.  </w:t>
        <w:br/>
        <w:t xml:space="preserve">UNITA: UNITA VIENNA INSURANCE GROUP S.A., a stock corporation established under Romanian law with the business address Bld. Dacia, nr 30, sect 1, Bucuresti, 010413, registered in the Romanian Trade Register (Oficiul Registrului Comertului) under number J/40/13092/2004.  </w:t>
        <w:br/>
        <w:t xml:space="preserve">UNITA Closing: the transfer of ownership of 100% of the shares in UNITA to the Buyer.  </w:t>
        <w:br/>
        <w:t xml:space="preserve">UNITA Board: the current board of UNITA, i.e., the gentlemen […].  </w:t>
        <w:br/>
        <w:t xml:space="preserve">Affiliated Companies: companies controlled by the parties in accordance with Article 3 of the Merger Regulation and in light of the Commission's notice on jurisdictional issues pursuant to Council Regulation (EC) No 139/2004 on the control of concentrations between undertakings.  </w:t>
        <w:br/>
        <w:t xml:space="preserve">Agreement: the option agreement concluded between ERGO and Wiener Städtische on […].  </w:t>
        <w:br/>
        <w:t xml:space="preserve">Disposing Business: the business or businesses as defined in Section B and in Schedules 1 and 2, i.e., BACAV, as defined in Section B and Schedule 1, and UNITA, as defined in Section B and Schedule 2.  </w:t>
        <w:br/>
        <w:t xml:space="preserve">Disposal Trustee: one or more natural or legal persons independent of Wiener Städtische, who have been approved by the Commission and appointed by Wiener Städtische, and who have received an exclusive mandate from Wiener Städtische to carry out the disposal of the business to be disposed of to a buyer without being bound by a minimum price.  </w:t>
        <w:br/>
        <w:t xml:space="preserve">VIG: Vienna Insurance Group.  </w:t>
        <w:br/>
        <w:t xml:space="preserve">Wiener Städtische: WIENER STÄDTISCHE Versicherung AG Vienna Insurance Group, a stock corporation established under Austrian law with its registered office in Vienna and business address at Schottenring 30, A-1010 Vienna, registered in the commercial register of the Vienna District Court under company number FN 75687f.  </w:t>
        <w:br/>
        <w:t xml:space="preserve">Section B. The Business to be Disposed of  </w:t>
        <w:br/>
        <w:t xml:space="preserve">Disposal Obligation  </w:t>
        <w:br/>
        <w:t xml:space="preserve">1. For the purpose of maintaining effective competition in the Romanian insurance market, Wiener Städtische undertakes to dispose of UNITA to a buyer and to arrange for the disposal under the sale conditions approved by the Commission in the procedure under point 15 until the end of the Trustee Disposal Period. For the purpose of carrying out the disposal, Wiener Städtische undertakes to find a buyer and to conclude a binding purchase agreement for the sale of UNITA within the first Disposal Period. Should Wiener Städtische not have concluded such a contract within the first Disposal Period, Wiener Städtische undertakes to grant the Disposal Trustee an exclusive mandate to dispose of the business to be disposed of in accordance with the procedure under point 24 within the Trustee Disposal Period.  </w:t>
        <w:br/>
        <w:t xml:space="preserve">For the purpose of maintaining effective competition in the Austrian insurance market, Wiener Städtische undertakes to dispose of BACAV to ERGO or to arrange for the disposal. To this end, Wiener Städtische (with […]) exercised a put option based on point 2 of the Agreement, resulting in a contract with ERGO for the acquisition of 45,485 shares in BACAV (which correspond to a share of 50.54% of the share capital of BACAV) effective from […]. The (directly or indirectly) held share of Wiener Städtische in BACAV is thereby reduced to 10% plus one share. Wiener Städtische undertakes that no rights will be associated with the shares remaining with Wiener Städtische that exceed the rights applicable under statutory provisions (in particular, no nomination right for the appointment of a supervisory board member will be granted to Wiener Städtische). Furthermore, Wiener Städtische undertakes to exercise its put option in accordance with point 2 of the Agreement for the remaining shares held by Wiener Städtische in BACAV before […], resulting in a contract with ERGO for the acquisition of 9,001 shares in BACAV (which correspond to a share of 10% plus one share of the share capital of BACAV) on the next possible option date […]. Wiener Städtische will thus dispose of all shares it holds in BACAV.  </w:t>
        <w:br/>
        <w:t xml:space="preserve">2. Regarding UNITA, this obligation is considered fulfilled if Wiener Städtische has concluded a binding purchase agreement before the end of the Trustee Disposal Period, the Commission has approved the buyer and the sale conditions in the procedure described in point 15, and the closing of the sale of UNITA occurs within a period of less than […] months after the approval of the buyer and the sale conditions by the Commission.  </w:t>
        <w:br/>
        <w:t xml:space="preserve">Regarding BACAV, this obligation is considered fulfilled if BACAV Closing I occurs within a period of less than […] months and BACAV Closing II occurs within a period of less than […] months after the effective date.  </w:t>
        <w:br/>
        <w:t>3. To maintain the structural effect of the commitment, Wiener Städtische is prohibited for a period of 10 years from the effective date from acquiring direct or indirect influence over the entirety or parts of the business to be disposed of, unless the Commission determines that the market structure has changed to such an extent that compatibility of the merger with the Common Market is also possible if Wiener Städtische has influence over the business to be disposed of.</w:t>
      </w:r>
    </w:p>
    <w:p>
      <w:r>
        <w:rPr>
          <w:b/>
        </w:rPr>
        <w:t>[Pages 46–48]</w:t>
      </w:r>
    </w:p>
    <w:p>
      <w:r>
        <w:t xml:space="preserve">COMP/M.5075 – VIG/EBV NON-CONFIDENTIAL VERSION  </w:t>
        <w:br/>
        <w:t xml:space="preserve">Structure and Definition of the Business to be Disposed of  </w:t>
        <w:br/>
        <w:t xml:space="preserve">4. The business to be disposed of consists of two companies (UNITA and BACAV): Wiener Städtische undertakes, firstly, to sell 54,486 of the shares, which correspond to 60.54% of the share capital of BACAV (BACAV Closing I: 45,485 shares and BACAV Closing II: 9,001 shares), to ERGO, which corresponds to the total shareholding currently held (directly or indirectly) by Wiener Städtische in BACAV. The current legal and operational structure of BACAV is described in Schedule 1. Secondly, Wiener Städtische undertakes to sell 100% of the shares of UNITA. The current legal and operational structure of UNITA is described in Schedule 2.  </w:t>
        <w:br/>
        <w:t xml:space="preserve">The business to be disposed of, which is described in more detail in Schedules 1 and 2, includes  </w:t>
        <w:br/>
        <w:t xml:space="preserve">(a) all tangible assets as well as all intangible assets (including intellectual property rights) that contribute to or are necessary for the ongoing operation or to ensure the viability and competitiveness of the business to be disposed of;  </w:t>
        <w:br/>
        <w:t xml:space="preserve">(b) all regulatory licenses, permits, and approvals of the business to be disposed of;  </w:t>
        <w:br/>
        <w:t xml:space="preserve">(c) all contracts, lease agreements, obligations, and customer orders of the business to be disposed of; all customer, receivable, and other records of the business to be disposed of (the assets mentioned under (a)-(c) are hereinafter collectively referred to as "Assets");  </w:t>
        <w:br/>
        <w:t xml:space="preserve">(d) the personnel; and  </w:t>
        <w:br/>
        <w:t xml:space="preserve">(e) the right – for a transitional period until […] on business terms as currently granted to the business to be disposed of – to obtain products or services from existing contractual relationships with Wiener Städtische or its affiliated companies (as described in Schedule 1 and Schedule 2), unless otherwise agreed with the buyer of UNITA or with ERGO.  </w:t>
        <w:br/>
        <w:t>45</w:t>
      </w:r>
    </w:p>
    <w:p>
      <w:r>
        <w:t xml:space="preserve">COMP/M.5075 – VIG/EBV NON-CONFIDENTIAL VERSION  </w:t>
        <w:br/>
        <w:t xml:space="preserve">Section C. Other Obligations  </w:t>
        <w:br/>
        <w:t xml:space="preserve">Maintenance of Viability, Market, and Competitiveness  </w:t>
        <w:br/>
        <w:t xml:space="preserve">5. From the effective date until the respective closing, Wiener Städtische undertakes to maintain the economic viability, market, and competitiveness of the business to be disposed of in accordance with usual business practices, as well as to minimize the risk of loss of competitive potential of the business to be disposed of as much as possible. In particular, Wiener Städtische undertakes:  </w:t>
        <w:br/>
        <w:t xml:space="preserve">(a) not to take any measures on its own initiative that would have significant adverse effects on the value, management, or competitiveness of the business to be disposed of or that could change the subject matter and scope of the business activities, the business strategy, or investment policy of the business to be disposed of;  </w:t>
        <w:br/>
        <w:t xml:space="preserve">(b) to provide sufficient resources for the development of the business to be disposed of, based on and updating the existing business plans;  </w:t>
        <w:br/>
        <w:t xml:space="preserve">(c) to take all measures, including appropriate incentive systems (based on common industry practice), that are suitable to encourage all key personnel to continue working for the business to be disposed of.  </w:t>
        <w:br/>
        <w:t xml:space="preserve">Hold-separate Obligations of Wiener Städtische  </w:t>
        <w:br/>
        <w:t xml:space="preserve">6. Wiener Städtische undertakes to operate the business to be disposed of separately from the remaining business areas of Wiener Städtische from the effective date until the respective closing and to ensure that the key personnel of the business to be disposed of – including the Hold-Separate Manager – has no connection to the remaining business areas of Wiener Städtische and vice versa. Furthermore, Wiener Städtische undertakes to ensure that the personnel do not report to third parties outside the business to be disposed of.  </w:t>
        <w:br/>
        <w:t xml:space="preserve">7. Wiener Städtische undertakes to assist the monitoring trustee until the closing in managing the business to be disposed of as a saleable and separate unit from the remaining business areas of Wiener Städtische. Wiener Städtische appoints a Hold-Separate Manager from the BACAV board and a Hold-Separate Manager from the UNITA board, who are responsible for the management of the business to be disposed of under the supervision of the monitoring trustee. The Hold-Separate Manager manages the business to be disposed of independently and in the best interest of the business to be disposed of with the aim of ensuring the economic viability, market, and competitiveness  </w:t>
        <w:br/>
        <w:t>46</w:t>
      </w:r>
    </w:p>
    <w:p>
      <w:r>
        <w:t xml:space="preserve">COMP/M.5075 – VIG/EBV NON-CONFIDENTIAL VERSION  </w:t>
        <w:br/>
        <w:t xml:space="preserve">of the business to be disposed of as well as its independence from the remaining business areas of Wiener Städtische.  </w:t>
        <w:br/>
        <w:t xml:space="preserve">8. To ensure that the business to be disposed of is a separately held and managed unit, the monitoring trustee shall exercise the rights (except for the right to dividends that are due before the respective closing) of Wiener Städtische as a shareholder in the business to be disposed of at the request of the Commission, taking into account the interests of the business to be disposed of as a self-managed unit and with the aim of fulfilling Wiener Städtische's obligations under this commitment. This includes the right to replace members of the supervisory bodies (i.e., the supervisory board at BACAV or Consiliul de Supraveghere at UNITA) who were appointed by Wiener Städtische. At the request of the Commission, Wiener Städtische shall ensure that these members resign from their mandates in the supervisory board of BACAV or in the Consiliul de Supraveghere of UNITA.  </w:t>
        <w:br/>
        <w:t xml:space="preserve">Ring-fencing  </w:t>
        <w:br/>
        <w:t xml:space="preserve">9. Wiener Städtische undertakes to take all necessary measures to ensure that Wiener Städtische does not gain insight into the trade secrets, know-how, business information, and other confidential or proprietary information of the business to be disposed of after the effective date. In particular, the integration of the business to be disposed of into a central IT network shall be separated as much as possible, without impairing the viability of the business to be disposed of. Wiener Städtische may receive information about the business to be disposed of to the extent that it is necessary for the sale of the business to be disposed of or its disclosure is required by law.  </w:t>
        <w:br/>
        <w:t xml:space="preserve">Non-solicitation  </w:t>
        <w:br/>
        <w:t xml:space="preserve">10. Subject to customary commercial restrictions, Wiener Städtische undertakes or causes its affiliated companies to refrain from soliciting the key personnel transferred with the business to be disposed of for a period of […] years after the respective closing.  </w:t>
        <w:br/>
        <w:t xml:space="preserve">Due Diligence  </w:t>
        <w:br/>
        <w:t xml:space="preserve">11. To enable potential buyers of UNITA to conduct appropriate due diligence on UNITA, Wiener Städtische undertakes, without prejudice to other customary confidentiality assurances and depending on the stage of the disposal process:  </w:t>
        <w:br/>
        <w:t xml:space="preserve">(a) to provide potential buyers with sufficient information regarding UNITA;  </w:t>
        <w:br/>
        <w:t>47</w:t>
      </w:r>
    </w:p>
    <w:p>
      <w:r>
        <w:rPr>
          <w:b/>
        </w:rPr>
        <w:t>[Pages 49–51]</w:t>
      </w:r>
    </w:p>
    <w:p>
      <w:r>
        <w:t xml:space="preserve">COMP/M.5075 – VIG/EBV NON-CONFIDENTIAL VERSION  </w:t>
        <w:br/>
        <w:t xml:space="preserve">(b) to provide potential buyers with sufficient information regarding the personnel and to grant them appropriate access to the personnel.  </w:t>
        <w:br/>
        <w:t xml:space="preserve">Reporting  </w:t>
        <w:br/>
        <w:t xml:space="preserve">12. Wiener Städtische undertakes to report in writing to the Commission and the monitoring trustee no later than 10 days after the end of each month following the effective date (or at the request of the Commission) in English or another language agreed upon with the Commission regarding potential buyers of UNITA and the progress of negotiations with such potential buyers.  </w:t>
        <w:br/>
        <w:t xml:space="preserve">With respect to BACAV, Wiener Städtische undertakes to report in writing to the Commission and the monitoring trustee no later than 10 days after the end of each month following the effective date (or at the request of the Commission) in English or another language agreed upon with the Commission regarding the progress of the implementation of the agreement.  </w:t>
        <w:br/>
        <w:t xml:space="preserve">13. Wiener Städtische undertakes to inform the Commission and the monitoring trustee about the status of the data room documentation and the due diligence concerning UNITA and to submit to the Commission and the monitoring trustee a copy of all significant business presentations regarding UNITA (e.g., information memorandum, management presentations) that have been created after the effective date, before the presentations are transmitted to potential buyers.  </w:t>
        <w:br/>
        <w:t xml:space="preserve">Section D. The Buyer  </w:t>
        <w:br/>
        <w:t xml:space="preserve">14. To ensure effective competition, the buyer of UNITA must meet the following conditions to be approved by the Commission:  </w:t>
        <w:br/>
        <w:t xml:space="preserve">(a) It must be independent of and not affiliated with Wiener Städtische;  </w:t>
        <w:br/>
        <w:t xml:space="preserve">(b) It must have adequate financial resources, proven expertise, and incentives to maintain and develop the divested business as a viable and active competitive force in competition with Wiener Städtische and other competitors;  </w:t>
        <w:br/>
        <w:t xml:space="preserve">(c) Based on the information available to the Commission, it must not be likely that prima facie competition concerns arise, nor may there be a risk that the enforcement of the commitment is delayed. Furthermore, it must be reasonably expected that the buyer will obtain all necessary approvals from the competent authorities for the acquisition of the divested business (the aforementioned criteria for the buyer are hereinafter referred to as the "Buyer Conditions").  </w:t>
        <w:br/>
        <w:t xml:space="preserve">15. The binding purchase agreement to be concluded with the buyer of UNITA must be subject to the condition precedent of approval by the Commission.  </w:t>
        <w:br/>
        <w:t xml:space="preserve">Wiener Städtische undertakes to submit a fully documented and justified proposal, including a copy of the binding purchase agreement, to the Commission and the monitoring trustee as soon as an agreement has been reached with a buyer of UNITA. Wiener Städtische must be able to demonstrate to the Commission that the buyer of UNITA meets the Buyer Conditions and that UNITA is sold in accordance with the provisions of this commitment. For the purpose of approval, the Commission reviews whether the buyer of UNITA meets the Buyer Conditions and whether the divested business is sold in accordance with the provisions of this commitment. The Commission may approve the sale of the divested business without one or more assets or parts of the personnel, provided that this does not adversely affect the viability and competitiveness of the divested business after the sale.  </w:t>
        <w:br/>
        <w:t xml:space="preserve">Section E. Trustee  </w:t>
        <w:br/>
        <w:t xml:space="preserve">I. Appointment Procedure  </w:t>
        <w:br/>
        <w:t xml:space="preserve">16. Wiener Städtische appoints a monitoring trustee to perform the functions specified in the commitment for the monitoring trustee. If Wiener Städtische has not concluded a binding purchase agreement regarding UNITA one month before the end of the first disposal period or if the Commission has rejected a buyer of UNITA proposed by Wiener Städtische at that time or thereafter, Wiener Städtische is obliged to appoint a divestiture trustee who will perform the functions specified in the commitment for divestiture trustees. The appointment of the divestiture trustee becomes effective at the beginning of the extended disposal period.  </w:t>
        <w:br/>
        <w:t xml:space="preserve">17. The trustee must be independent of Wiener Städtische, possess the necessary qualifications to perform its mandate, such as an investment bank, and be subject to or become subject to. The trustee shall be compensated in such a manner that the independent and effective fulfillment of its mandate is not impaired in any way. In particular, in cases where the compensation of the divestiture trustee is linked to a success fee dependent on the final sale value of the divested business, the compensation shall also be linked to a divestiture during the trustee's divestiture period.  </w:t>
        <w:br/>
        <w:t xml:space="preserve">Proposals by Wiener Städtische  </w:t>
        <w:br/>
        <w:t xml:space="preserve">18. No later than one week after the effective date, Wiener Städtische shall submit a list of one or more persons that Wiener Städtische proposes to the Commission for approval as monitoring trustee. No later than one month before the end of the first disposal period, Wiener Städtische shall submit a list of one or more persons that Wiener Städtische proposes to the Commission for approval as divestiture trustee. The proposal must contain sufficient information to allow the Commission to verify whether the proposed trustee meets the requirements according to point 17. It shall include:  </w:t>
        <w:br/>
        <w:t xml:space="preserve">(a) the full text of the proposed mandate, including all necessary provisions that allow the trustee to fulfill its obligations under this commitment;  </w:t>
        <w:br/>
        <w:t xml:space="preserve">(b) a draft work plan outlining how the trustee intends to carry out its assigned tasks;  </w:t>
        <w:br/>
        <w:t xml:space="preserve">(c) an indication of whether the proposed trustee will act as both monitoring and divestiture trustee, or whether different trustees are proposed for these two functions.  </w:t>
        <w:br/>
        <w:t xml:space="preserve">Approval or Rejection by the Commission  </w:t>
        <w:br/>
        <w:t xml:space="preserve">19. It is at the discretion of the Commission to approve or reject the proposed trustees and the proposed mandate, subject to any modifications that the Commission deems necessary for the trustee to fulfill its obligations. If the Commission approves only one person, Wiener Städtische is obliged to appoint that person or institution as trustee in accordance with the mandate approved by the Commission. If the Commission approves more than one person, it is up to Wiener Städtische to choose the trustee to be appointed from among the approved persons. The trustee must be appointed within one week after approval by the Commission in accordance with the mandate approved by the Commission.  </w:t>
        <w:br/>
        <w:t xml:space="preserve">New Proposals from Wiener Städtische  </w:t>
        <w:br/>
        <w:t xml:space="preserve">20. If all proposed trustees are rejected, Wiener Städtische is obliged to propose at least two or more persons or institutions within one week after notification of the rejection in accordance with the conditions and procedures set out in points 16 and 19.  </w:t>
        <w:br/>
        <w:t xml:space="preserve">Trustee Appointed by the Commission  </w:t>
        <w:br/>
        <w:t>21. If all further proposed trustees are rejected by the Commission, the Commission shall appoint a trustee to be appointed by Wiener Städtische in accordance with the mandate approved by the Commission.</w:t>
      </w:r>
    </w:p>
    <w:p>
      <w:r>
        <w:rPr>
          <w:b/>
        </w:rPr>
        <w:t>[Pages 52–54]</w:t>
      </w:r>
    </w:p>
    <w:p>
      <w:r>
        <w:t xml:space="preserve">COMP/M.5075 – VIG/EBV NON-CONFIDENTIAL VERSION  </w:t>
        <w:br/>
        <w:t xml:space="preserve">II. Functions of the Trustee  </w:t>
        <w:br/>
        <w:t xml:space="preserve">22. The trustee shall assume his described obligations to ensure compliance with the commitment undertaking. The Commission may, on its own initiative or at the request of the trustee or Wiener Städtische, issue instructions to the trustee to ensure compliance with the conditions and obligations attached to the decision.  </w:t>
        <w:br/>
        <w:t xml:space="preserve">Duties and Obligations of the Monitoring Trustee  </w:t>
        <w:br/>
        <w:t xml:space="preserve">23. The monitoring trustee shall:  </w:t>
        <w:br/>
        <w:t xml:space="preserve">(i) submit a detailed work plan in his first report to the Commission, describing how he will monitor compliance with the obligations and conditions attached to the decision;  </w:t>
        <w:br/>
        <w:t xml:space="preserve">(ii) oversee the ongoing management of the business to be divested with regard to maintaining its continued economic viability, market position, and competitiveness, and monitor Wiener Städtische's compliance with the obligations and conditions attached to the decision. For this purpose, the monitoring trustee shall:  </w:t>
        <w:br/>
        <w:t xml:space="preserve">(a) monitor the preservation of the economic viability, market position, and competitiveness of the business to be divested as well as the independence of the business to be divested from the business areas remaining with Wiener Städtische in accordance with points 5 and 6 of the commitment undertaking;  </w:t>
        <w:br/>
        <w:t xml:space="preserve">(b) oversee the management of the business to be divested as an independent and marketable unit in accordance with point 7 of the commitment undertaking;  </w:t>
        <w:br/>
        <w:t xml:space="preserve">(c) (i) in consultation with Wiener Städtische, determine all necessary measures required to ensure that Wiener Städtische does not gain access to trade secrets, know-how, business information, or other confidential or proprietary information of the business to be divested after the effective date, and in particular, attempt to separate the integration of the business to be divested from a central IT network, as far as possible, without jeopardizing the viability of the business to be divested, and (ii) decide whether and which information can be disclosed to Wiener Städtische because such disclosure is necessary to allow Wiener Städtische to proceed with the divestiture or because it is legally required;  </w:t>
        <w:br/>
        <w:t xml:space="preserve">(d) monitor the allocation of assets and the assignment of personnel between the business to be divested and Wiener Städtische or affiliated companies;  </w:t>
        <w:br/>
        <w:t xml:space="preserve">(iii) perform all other functions assigned to the monitoring trustee in accordance with the conditions and obligations attached to the decision;  </w:t>
        <w:br/>
        <w:t xml:space="preserve">(iv) propose to Wiener Städtische such measures as the monitoring trustee deems necessary to ensure compliance with the conditions and obligations attached to the decision by Wiener Städtische - in particular, to maintain the complete economic viability, market position, and competitiveness of the business to be divested, the independence of the business to be divested, and the confidentiality of competitively sensitive information;  </w:t>
        <w:br/>
        <w:t xml:space="preserve">(v) review and assess potential buyers of UNITA as well as the progress of the divestiture process, and depending on the stage of the divestiture process, verify whether  </w:t>
        <w:br/>
        <w:t xml:space="preserve">(a) potential buyers receive sufficient information about the business to be divested and personnel (have received), particularly by reviewing, if available, the data room documentation, the information memorandum, and the due diligence process, and  </w:t>
        <w:br/>
        <w:t xml:space="preserve">(b) potential buyers are granted sufficient access to personnel;  </w:t>
        <w:br/>
        <w:t xml:space="preserve">(vi) submit a written report to the Commission within 15 days after the end of each month, which shall also be transmitted in non-confidential form to Wiener Städtische. The subject of the report shall be the operation and management of the business to be divested, so that the Commission can assess whether the business to be divested is being conducted in a manner consistent with the commitment undertaking, the progress of the divestiture process, and the potential buyers. In addition to these reports, the monitoring trustee shall promptly report in writing to the Commission and simultaneously provide a non-confidential version to Wiener Städtische if there is sufficient reason to believe that Wiener Städtische is not complying with its obligations under the commitment undertaking;  </w:t>
        <w:br/>
        <w:t xml:space="preserve">(vii) submit a reasoned opinion within one week of receiving the documented proposal pursuant to point 15 of the Commission. The subject of the reasoned opinion shall be the suitability and independence of the proposed buyer of UNITA as well as the viability of UNITA after the sale. Furthermore, the reasoned opinion shall address whether UNITA is being sold in accordance with the conditions and obligations attached to the decision, particularly, if relevant, whether the divestiture of UNITA without one or more assets or not with the entirety of the personnel affects the viability of UNITA after the sale, taking into account the proposed buyer.  </w:t>
        <w:br/>
        <w:t xml:space="preserve">Duties and Obligations of the Divestiture Trustee  </w:t>
        <w:br/>
        <w:t xml:space="preserve">24. Within the trustee divestiture period, the divestiture trustee may sell UNITA to a buyer without being bound by a minimum price, provided that the Commission has approved the buyer and the binding purchase agreement in accordance with the procedure set out in point 15. The divestiture trustee may include in the purchase agreement such conditions and obligations as he deems appropriate for an expedited sale within the trustee divestiture period. In particular, the divestiture trustee may include such customary representations, warranties, and indemnities that are necessary to effectuate the divestiture. Subject to the unconditional obligation of Wiener Städtische to sell the business to be divested within the trustee divestiture period without being bound by a minimum price, the divestiture trustee shall protect the legitimate financial interests of Wiener Städtische.  </w:t>
        <w:br/>
        <w:t xml:space="preserve">25. The divestiture trustee shall submit a comprehensive written report to the Commission during the trustee divestiture period (or upon request of the Commission) on a monthly basis in English or another language agreed upon with the Commission, reporting on the progress of the divestiture process. These reports shall be submitted to the Commission within 15 days after the end of each month and simultaneously transmitted in copy to the monitoring trustee and in non-confidential form to Wiener Städtische.  </w:t>
        <w:br/>
        <w:t xml:space="preserve">III. Duties and Obligations of Wiener Städtische  </w:t>
        <w:br/>
        <w:t xml:space="preserve">26. Wiener Städtische undertakes that Wiener Städtische and its advisors shall provide the trustee with any support and information necessary for the fulfillment of his tasks. The trustee shall have full and unrestricted access to any business books, records, documents, all management personnel or other personnel, all operations, business locations, and technical information of Wiener Städtische, as far as necessary to fulfill the obligation under the commitment undertaking. Wiener Städtische and the business to be divested further undertake to provide the trustee, upon request, with copies of any documents and to make one or more offices available to the trustee in their premises and to be available for meetings to provide the trustee with all information necessary for the fulfillment of his tasks.  </w:t>
        <w:br/>
        <w:t>27. Wiener Städtische shall provide the monitoring trustee with support in all administrative and operational matters that he may reasonably request on behalf of the management of the business to be divested. This includes any support in the management of the business to be divested that is currently being performed at the central level.</w:t>
      </w:r>
    </w:p>
    <w:p>
      <w:r>
        <w:rPr>
          <w:b/>
        </w:rPr>
        <w:t>[Pages 55–57]</w:t>
      </w:r>
    </w:p>
    <w:p>
      <w:r>
        <w:t>COMP/M.5075 – VIG/EBV NON-CONFIDENTIAL VERSION</w:t>
        <w:br/>
        <w:t>Furthermore, Wiener Städtische undertakes that Wiener Städtische and its advisors shall provide the monitoring trustee, upon request, with the information that has been made available to potential buyers, and in particular grant the monitoring trustee access to the documentation of the data room and all other information that has been made available to other potential buyers during the due diligence process. Wiener Städtische commits to inform the monitoring trustee about potential buyers, to provide a list of potential buyers, and to keep the monitoring trustee informed about all developments regarding the divestiture process.</w:t>
      </w:r>
    </w:p>
    <w:p>
      <w:r>
        <w:t>28. Wiener Städtische undertakes or causes its affiliated companies to grant the divestiture trustee a proper and comprehensive power of attorney for the execution of the divestiture or the closing, as well as all measures and declarations that the divestiture trustee deems necessary or appropriate to achieve the sale and the closing, including the appointment of advisors to assist in the divestiture process. Upon request of the divestiture trustee, Wiener Städtische is obliged to ensure that the documents necessary for the execution of the divestiture and the closing are duly issued.</w:t>
      </w:r>
    </w:p>
    <w:p>
      <w:r>
        <w:t>29. Wiener Städtische undertakes to indemnify the trustee, its employees, and representatives from liability (each a "released party") and agrees that a released party shall not be liable to Wiener Städtische for liabilities arising from the fulfillment of its obligations as trustee under this commitment undertaking. Excluded from this are liabilities arising from intentional or grossly negligent acts of the trustee, its employees, agents, or advisors.</w:t>
      </w:r>
    </w:p>
    <w:p>
      <w:r>
        <w:t>30. The trustee may appoint advisors at the expense of Wiener Städtische (in particular for the purposes of corporate financing and legal advice), subject to the approval of Wiener Städtische (such approval shall not be unreasonably withheld or delayed), if the trustee deems the appointment of such advisors necessary and appropriate for the fulfillment of its duties and obligations under the mandate, provided that the fees and expenses are reasonable. Should Wiener Städtische refuse to approve the advisors, the Commission, after hearing Wiener Städtische, may appoint the advisors proposed by the trustee. Only the trustee is entitled to give instructions to the advisors. Point 29 applies mutatis mutandis. The divestiture trustee may use advisors who have advised Wiener Städtische during the divestiture period, should this be deemed by the trustee to be in the interest of a swift divestiture.</w:t>
      </w:r>
    </w:p>
    <w:p>
      <w:r>
        <w:t>IV. Replacement, Dismissal, and Reinstatement of the Trustee</w:t>
        <w:br/>
        <w:t>31. If the trustee does not perform its functions under the commitment undertaking or otherwise for good cause, such as due to a conflict of interest:</w:t>
      </w:r>
    </w:p>
    <w:p>
      <w:r>
        <w:t>(a) the Commission may, after hearing the trustee, instruct Wiener Städtische to replace it; or</w:t>
        <w:br/>
        <w:t>(b) Wiener Städtische may replace the trustee with the prior approval of the Commission.</w:t>
      </w:r>
    </w:p>
    <w:p>
      <w:r>
        <w:t>32. If the trustee is removed from its duties in accordance with point 31, the trustee may be required to continue to perform its functions until the appointment of a new trustee, to whom the trustee must hand over all relevant information. The new trustee will be appointed in accordance with the procedure described in points 16-21.</w:t>
      </w:r>
    </w:p>
    <w:p>
      <w:r>
        <w:t>33. Except in the case of dismissal under point 31, the trustee may only terminate its function as trustee after the trustee has fulfilled all obligations assigned to it and the Commission subsequently relieves it of its obligations. However, the Commission may at any time require the reinstatement of the monitoring trustee if it later becomes apparent that an obligation has not been fully and properly implemented.</w:t>
      </w:r>
    </w:p>
    <w:p>
      <w:r>
        <w:t>Section F. Review Clause</w:t>
        <w:br/>
        <w:t>34. The Commission may, if warranted, upon a justified request from Wiener Städtische, which demonstrates important reasons and is accompanied by a report from the monitoring trustee:</w:t>
        <w:br/>
        <w:t>(i) grant an extension of the divestiture periods provided for in the commitment undertaking or</w:t>
        <w:br/>
        <w:t>(ii) in exceptional cases, modify or replace one or more obligations contained in this commitment undertaking or waive them entirely.</w:t>
        <w:br/>
        <w:t>If Wiener Städtische wishes to achieve an extension of the divestiture period, Wiener Städtische shall submit a corresponding, sufficiently justified request demonstrating important reasons, no later than one month before the expiration of this period. Only in exceptional cases is Wiener Städtische entitled to request an extension within the last month before the expiration of the deadline.</w:t>
      </w:r>
    </w:p>
    <w:p>
      <w:r>
        <w:t>…………………………………… ……………………………………</w:t>
        <w:br/>
        <w:t>Hanno Wollmann (Attorney) Volker Weiss (Attorney)</w:t>
        <w:br/>
        <w:t>Duly authorized and on behalf of</w:t>
        <w:br/>
        <w:t>WIENER STÄDTISCHE Versicherung AG Vienna Insurance Group</w:t>
      </w:r>
    </w:p>
    <w:p>
      <w:r>
        <w:rPr>
          <w:b/>
        </w:rPr>
        <w:t>[Pages 58–60]</w:t>
      </w:r>
    </w:p>
    <w:p>
      <w:r>
        <w:t xml:space="preserve">COMP/M.5075 – VIG/EBV NON-CONFIDENTIAL VERSION  </w:t>
        <w:br/>
        <w:t xml:space="preserve">SCHEDULE 1  </w:t>
        <w:br/>
        <w:t xml:space="preserve">Bank Austria Creditanstalt Versicherung AG  </w:t>
        <w:br/>
        <w:t xml:space="preserve">1. The current legal and operational structure of the business to be disposed of is as follows:  </w:t>
        <w:br/>
        <w:t xml:space="preserve">Brief chronological overview and key business activities:  </w:t>
        <w:br/>
        <w:t xml:space="preserve">BACAV was formed in August 2007 from the merger of UNION Versicherungs-Aktiengesellschaft and Bank Austria Creditanstalt Versicherung AG. The company primarily offers life insurance products and, to a lesser extent, accident insurance products. Based on gross premium income, BACAV is the […] Austrian life insurance company (source: internal forecast of the VVO based on preliminary data for the year 2007). The life insurance business of BACAV accounts for nearly […]% of the total gross premium income of VIG in the life insurance sector in Austria. In this area, BACAV offers a wide range of retirement and investment products, including pension plans, capital accumulation and investment products, as well as products for traditional risk coverage. In the non-life insurance sector, BACAV operates as a provider of accident insurance with various accident insurance products.  </w:t>
        <w:br/>
        <w:t xml:space="preserve">Current legal and operational structure  </w:t>
        <w:br/>
        <w:t xml:space="preserve">BACAV is a stock corporation established under Austrian law. The company is registered at the headquarters of Wiener Städtische (Schottenring 30, A-1010 Vienna). The business address of BACAV is as follows: Schottenring 27-29, A-1010 Vienna (T: +43 (0)1 / 313 83-0; F: +43 (0)1 / 313 83-27490; E: office@ba-cav.at).  </w:t>
        <w:br/>
        <w:t xml:space="preserve">[…].  </w:t>
        <w:br/>
        <w:t xml:space="preserve">Currently, 60.5% of the shares are held by Wiener Städtische (directly and indirectly), […]% of the shares by ERGO, and […]% of the shares by Bank Austria Creditanstalt AG ("Bank Austria"). A simplified representation of the ownership structure is provided below:  </w:t>
        <w:br/>
        <w:t>57</w:t>
      </w:r>
    </w:p>
    <w:p>
      <w:r>
        <w:t xml:space="preserve">COMP/M.5075 – VIG/EBV NON-CONFIDENTIAL VERSION  </w:t>
        <w:br/>
        <w:t xml:space="preserve">[…]  </w:t>
        <w:br/>
        <w:t xml:space="preserve">The board of BACAV currently consists of four members. The following individuals are currently members of the board:  </w:t>
        <w:br/>
        <w:t xml:space="preserve">Name Age Position Member Appointed until  </w:t>
        <w:br/>
        <w:t xml:space="preserve">since  </w:t>
        <w:br/>
        <w:t xml:space="preserve">[…] […] Chairman of the Board […] […]  </w:t>
        <w:br/>
        <w:t xml:space="preserve">[…] […] Board Member […] […]  </w:t>
        <w:br/>
        <w:t xml:space="preserve">[…] […] Board Member […] […]  </w:t>
        <w:br/>
        <w:t xml:space="preserve">[…] […] Board Member […] […]  </w:t>
        <w:br/>
        <w:t>58</w:t>
      </w:r>
    </w:p>
    <w:p>
      <w:r>
        <w:t xml:space="preserve">COMP/M.5075 – VIG/EBV NON-CONFIDENTIAL VERSION  </w:t>
        <w:br/>
        <w:t xml:space="preserve">The following diagram represents the operational structure of BACAV:  </w:t>
        <w:br/>
        <w:t xml:space="preserve">[…]  </w:t>
        <w:br/>
        <w:t xml:space="preserve">Note: […].  </w:t>
        <w:br/>
        <w:t xml:space="preserve">BACAV is autonomous with respect to nearly all business functions within the value chain of the insurance business, i.e., the core activities of its insurance business are conducted entirely in-house.  </w:t>
        <w:br/>
        <w:t xml:space="preserve">[…]. From an operational perspective, BACAV currently relies on certain back-office and support functions of the VIG organization. Back-office functions are outsourced to VIG in the following areas: […].  </w:t>
        <w:br/>
        <w:t xml:space="preserve">2. According to point 4 of this commitment, the business to be disposed of includes the following, but is not limited to:  </w:t>
        <w:br/>
        <w:t>59</w:t>
      </w:r>
    </w:p>
    <w:p>
      <w:r>
        <w:rPr>
          <w:b/>
        </w:rPr>
        <w:t>[Pages 61–63]</w:t>
      </w:r>
    </w:p>
    <w:p>
      <w:r>
        <w:t xml:space="preserve">COMP/M.5075 – VIG/EBV NON-CONFIDENTIAL VERSION  </w:t>
        <w:br/>
        <w:t xml:space="preserve">(a) the following main tangible assets:  </w:t>
        <w:br/>
        <w:t xml:space="preserve">The tangible assets of BACAV include all assets currently belonging to BACAV (as per the annual financial statement as of December 31, 2007). Excluded are those assets listed in Section 3.  </w:t>
        <w:br/>
        <w:t xml:space="preserve">(b) the following main intangible assets:  </w:t>
        <w:br/>
        <w:t xml:space="preserve">The intangible assets include the proprietary company name of BACAV “Bank Austria Versicherung AG”. […]  </w:t>
        <w:br/>
        <w:t xml:space="preserve">(c) the following main regulatory licenses, approvals, and authorizations;  </w:t>
        <w:br/>
        <w:t xml:space="preserve">BACAV holds all necessary licenses (issued by the Financial Market Authority) to independently conduct its business activities. BACAV is authorized to conclude accident and life insurance, insurance against financial losses, marriage and birth insurance, as well as unit-linked and index-linked life insurance. The licenses are part of BACAV and will remain with BACAV.  </w:t>
        <w:br/>
        <w:t xml:space="preserve">(d) the following main contracts, agreements, lease and rental agreements, obligations, and arrangements;  </w:t>
        <w:br/>
        <w:t xml:space="preserve">All contracts, agreements, and lease and rental agreements in which BACAV is currently a contracting party; as well as BACAV's position as an insurance partner of Bank Austria in the area of life […] insurance.  </w:t>
        <w:br/>
        <w:t xml:space="preserve">(e) the following customer, receivable, and other records:  </w:t>
        <w:br/>
        <w:t>BACAV has (as of December 31, 2007) […] insurance contracts, which will remain in their entirety with BACAV, including all customer data and records pertaining to these customers.</w:t>
      </w:r>
    </w:p>
    <w:p>
      <w:r>
        <w:t xml:space="preserve">COMP/M.5075 – VIG/EBV NON-CONFIDENTIAL VERSION  </w:t>
        <w:br/>
        <w:t xml:space="preserve">(f) the following personnel:  </w:t>
        <w:br/>
        <w:t xml:space="preserve">BACAV employs a total of […] employees (as of Q1 2008). […]  </w:t>
        <w:br/>
        <w:t xml:space="preserve">(g) the following key personnel:  </w:t>
        <w:br/>
        <w:t xml:space="preserve">A list of key personnel (excluding board members) is attached as Schedule 1, Annex 1.  </w:t>
        <w:br/>
        <w:t xml:space="preserve">(h) the agreements under which Wiener Städtische or its affiliated companies will provide products and services for a transitional period:  </w:t>
        <w:br/>
        <w:t xml:space="preserve">- Back-office / Support functions  </w:t>
        <w:br/>
        <w:t xml:space="preserve">As mentioned above, certain back-office and support functions of BACAV are currently handled by the organization of Wiener Städtische. Joint back-office functions currently exist in the following areas: […]  </w:t>
        <w:br/>
        <w:t xml:space="preserve">These services are currently provided by Wiener Städtische […] and will continue to be provided until the BACAV Closing […]. At the request of ERGO (and to the extent that ERGO requires it), Wiener Städtische offers to provide these services even after the BACAV Closing until […].  </w:t>
        <w:br/>
        <w:t xml:space="preserve">Regarding the IT platform of BACAV, which is currently integrated into the VIG platform […], Wiener Städtische will continue to manage and operate the IT platform until the BACAV Closing – and at the request of ERGO (and to the extent that this is required by ERGO) until […] – in accordance with the currently existing conditions. […]  </w:t>
        <w:br/>
        <w:t>- Reinsurance</w:t>
      </w:r>
    </w:p>
    <w:p>
      <w:r>
        <w:t xml:space="preserve">COMP/M.5075 – VIG/EBV NON-CONFIDENTIAL VERSION  </w:t>
        <w:br/>
        <w:t xml:space="preserve">The demand of BACAV for reinsurance services is covered by its insurance parent companies (i.e., Wiener Städtische and ERGO) […]  </w:t>
        <w:br/>
        <w:t xml:space="preserve">Wiener Städtische will continue to provide BACAV with reinsurance until the BACAV Closing and, at the request of ERGO and to the extent that this is required by ERGO, also thereafter […].  </w:t>
        <w:br/>
        <w:t xml:space="preserve">3. The following shares are not part of the business to be sold:  </w:t>
        <w:br/>
        <w:t>[…]</w:t>
      </w:r>
    </w:p>
    <w:p>
      <w:r>
        <w:rPr>
          <w:b/>
        </w:rPr>
        <w:t>[Pages 64–66]</w:t>
      </w:r>
    </w:p>
    <w:p>
      <w:r>
        <w:t xml:space="preserve">COMP/M.5075 – VIG/EBV NON-CONFIDENTIAL VERSION  </w:t>
        <w:br/>
        <w:t xml:space="preserve">SCHEDULE 2  </w:t>
        <w:br/>
        <w:t>UNITA VIENNA INSURANCE GROUP SA</w:t>
      </w:r>
    </w:p>
    <w:p>
      <w:r>
        <w:t xml:space="preserve">1. The current legal and operational structure of the business to be disposed of is as follows:  </w:t>
        <w:br/>
        <w:t xml:space="preserve">Brief chronological overview and key business activities:  </w:t>
        <w:br/>
        <w:t>UNITA was founded in 1990 as the first private insurance company in Romania. Since 2001, it has been part of the Vienna Insurance Group. Since its establishment and after the acquisition by VIG, UNITA has operated as an independent subsidiary with its own management. […] Motor vehicle insurance – as is common for companies in the non-life insurance sector in Romania – constitutes the vast majority of UNITA's gross premium income. In the non-life insurance market, UNITA (as of the end of 2006) is the […] insurance company.</w:t>
      </w:r>
    </w:p>
    <w:p>
      <w:r>
        <w:t xml:space="preserve">Current legal and operational structure  </w:t>
        <w:br/>
        <w:t xml:space="preserve">UNITA is a joint-stock company under Romanian law (Societate pe acțiuni).  </w:t>
        <w:br/>
        <w:t xml:space="preserve">The registered office of the company is: Dacia Blvd 30, RO 010413 Bucharest (T: + 40 21 212 08 82; F: + 40 21 212 08 41; E: secretary@unita.ro). […] UNITA has […] branches and […] sales points (which are subordinate to the branches) distributed throughout Romania.  </w:t>
        <w:br/>
        <w:t>Currently, Wiener Städtische holds a stake of […]%, while OMNIASIG holds the remaining […]%. […] A simplified representation of the ownership structure is shown below:</w:t>
      </w:r>
    </w:p>
    <w:p>
      <w:r>
        <w:t xml:space="preserve">The board of UNITA consists of three members, supported by a secretary general. The following individuals are currently members of the board:  </w:t>
        <w:br/>
        <w:t xml:space="preserve">Name Age Position Member since Works Appointed until  </w:t>
        <w:br/>
        <w:t xml:space="preserve">for UNITA since  </w:t>
        <w:br/>
        <w:t xml:space="preserve">[…]…. […] Chairman of the Board […] […] […]  </w:t>
        <w:br/>
        <w:t xml:space="preserve">of  </w:t>
        <w:br/>
        <w:t xml:space="preserve">[…]…... […] Board Member […] […] […]  </w:t>
        <w:br/>
        <w:t xml:space="preserve">[…]... […] (Deputy) […] […] […]  </w:t>
        <w:br/>
        <w:t>Board Member</w:t>
      </w:r>
    </w:p>
    <w:p>
      <w:r>
        <w:t xml:space="preserve">UNITA operates as a fundamentally independent and autonomous company.  </w:t>
        <w:br/>
        <w:t xml:space="preserve">Operationally, the company is divided into the following business areas, each of which is accountable to either the entire board or its members:  </w:t>
        <w:br/>
        <w:t xml:space="preserve">Functional area Administration  </w:t>
        <w:br/>
        <w:t xml:space="preserve">[…] Functional area Sales  </w:t>
        <w:br/>
        <w:t>[…]</w:t>
      </w:r>
    </w:p>
    <w:p>
      <w:r>
        <w:t xml:space="preserve">Functional area Support  </w:t>
        <w:br/>
        <w:t>[…]</w:t>
      </w:r>
    </w:p>
    <w:p>
      <w:r>
        <w:t xml:space="preserve">The following illustration represents the operational structure of UNITA:  </w:t>
        <w:br/>
        <w:t xml:space="preserve">[…]  </w:t>
        <w:br/>
        <w:t>Both from operational and business perspectives, UNITA is autonomous. UNITA independently undertakes the development, production, marketing, and distribution and sale of</w:t>
      </w:r>
    </w:p>
    <w:p>
      <w:r>
        <w:rPr>
          <w:b/>
        </w:rPr>
        <w:t>[Pages 67–69]</w:t>
      </w:r>
    </w:p>
    <w:p>
      <w:r>
        <w:t>COMP/M.5075 – VIG/EBV NON-CONFIDENTIAL VERSION</w:t>
        <w:br/>
        <w:t xml:space="preserve">insurance products. UNITA currently obtains reinsurance, among others, from VIG. </w:t>
        <w:br/>
        <w:t>Operationally, UNITA is currently using an application software tool […] from the VIG organization. […]</w:t>
      </w:r>
    </w:p>
    <w:p>
      <w:r>
        <w:t>2. According to point 4 of this commitment, the business to be disposed of includes the following, but is not limited to:</w:t>
      </w:r>
    </w:p>
    <w:p>
      <w:r>
        <w:t>(a) the following main tangible assets:</w:t>
        <w:br/>
        <w:t>The tangible assets include all assets that currently (as per the financial statements as of December 31, 2007) belong to UNITA, with the exception of all those assets mentioned in Section 3. […]</w:t>
      </w:r>
    </w:p>
    <w:p>
      <w:r>
        <w:t>(b) the following main intangible assets:</w:t>
        <w:br/>
        <w:t>The intangible assets include the UNITA brand without the "Vienna Insurance Group" schedule and the UNITA domain name (www.unita.ro).</w:t>
      </w:r>
    </w:p>
    <w:p>
      <w:r>
        <w:t>(c) the following main regulatory licenses, permits, and approvals:</w:t>
        <w:br/>
        <w:t>UNITA possesses all necessary licenses to independently carry out its business activities. This includes the insurance licenses, […], which allow UNITA to operate in the following insurance classes: accident insurance (including occupational accidents and diseases), health insurance, land vehicle insurance, marine insurance, transit goods insurance, fire and elemental damage insurance, other property damage insurances, motor vehicle liability insurance (MTPL and Green Card), liability insurance for ships, general liability insurance, credit insurance, guarantee insurance, travel insurance (for individuals who encounter difficulties during a trip).</w:t>
      </w:r>
    </w:p>
    <w:p>
      <w:r>
        <w:t>(d) the following main contracts, agreements, lease and rental agreements, obligations, and arrangements:</w:t>
        <w:br/>
        <w:t>All contracts, agreements, and lease and rental agreements to which UNITA is currently a party are part of UNITA, including (but not limited to) all distribution agreements with brokers and sales representatives and cooperation agreements with leasing companies.</w:t>
      </w:r>
    </w:p>
    <w:p>
      <w:r>
        <w:t>(e) the following customer, receivable, and other records:</w:t>
        <w:br/>
        <w:t>UNITA has a large number of customers (approximately […]), of which approximately […] are private customers. All contracts as well as the associated customer records and information are part of UNITA.</w:t>
      </w:r>
    </w:p>
    <w:p>
      <w:r>
        <w:t>(f) the following personnel:</w:t>
        <w:br/>
        <w:t>The workforce of UNITA comprises […] employees (as of March 31, 2008: […]), of whom the vast majority ([…]) were engaged in sales. […]</w:t>
      </w:r>
    </w:p>
    <w:p>
      <w:r>
        <w:t>(g) the following key personnel:</w:t>
        <w:br/>
        <w:t>A list of key personnel (excluding board members) is attached as Schedule 2, Annex 1.</w:t>
      </w:r>
    </w:p>
    <w:p>
      <w:r>
        <w:t>(h) the agreements under which Wiener Städtische or its affiliated companies will provide products and services for a transitional period after the closing:</w:t>
        <w:br/>
        <w:t>VIG pursues a multi-company/brand strategy, i.e., it operates with several largely autonomous units in the market. This is particularly true for UNITA, which exercises its business functions essentially autonomously across all stages of the value chain in the insurance business. "Shared Services" currently exist in the back-office area concerning an application software tool ([…]) used by UNITA. Furthermore, UNITA currently obtains reinsurance from Wiener Städtische, among others.</w:t>
      </w:r>
    </w:p>
    <w:p>
      <w:r>
        <w:t>Software – […]</w:t>
        <w:br/>
        <w:t>Wiener Städtische will offer UNITA the continued use of this software under the current conditions until the UNITA closing, and thereafter, at the buyer's request (and to the extent requested by the buyer), through a separate licensing agreement on market terms, including industry-standard data protection arrangements until […].</w:t>
      </w:r>
    </w:p>
    <w:p>
      <w:r>
        <w:t>Reinsurance</w:t>
        <w:br/>
        <w:t>Wiener Städtische will provide UNITA with reinsurance based on the currently effective reinsurance agreement until the UNITA closing, and thereafter, at the buyer's request (and to the extent requested by the buyer) until […].</w:t>
      </w:r>
    </w:p>
    <w:p>
      <w:r>
        <w:t>3. The following company is not part of the business to be disposed of:</w:t>
        <w:br/>
        <w:t>[…]</w:t>
      </w:r>
    </w:p>
    <w:p>
      <w:r>
        <w:rPr>
          <w:b/>
        </w:rPr>
        <w:t>[Pages 70–71]</w:t>
      </w:r>
    </w:p>
    <w:p>
      <w:r>
        <w:t xml:space="preserve">COMP/M.5075 – VIG/EBV NON-CONFIDENTIAL VERSION  </w:t>
        <w:br/>
        <w:t xml:space="preserve">ANNEX 1 to SCHEDULE 1  </w:t>
        <w:br/>
        <w:t xml:space="preserve">Key personnel of BACAV (excluding board members):  </w:t>
        <w:br/>
        <w:t xml:space="preserve">[…]  </w:t>
        <w:br/>
        <w:t>69</w:t>
      </w:r>
    </w:p>
    <w:p>
      <w:r>
        <w:t xml:space="preserve">COMP/M.5075 – VIG/EBV NON-CONFIDENTIAL VERSION  </w:t>
        <w:br/>
        <w:t xml:space="preserve">ANNEX 1 to SCHEDULE 2  </w:t>
        <w:br/>
        <w:t xml:space="preserve">Key personnel of UNITA (excluding board members):  </w:t>
        <w:br/>
        <w:t xml:space="preserve">[…]  </w:t>
        <w:br/>
        <w:t>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