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https://ec.europa.eu/competition/mergers/cases/decisions/m873_de.pdf</w:t>
      </w:r>
    </w:p>
    <w:p>
      <w:r>
        <w:t>Pages translated : 35</w:t>
      </w:r>
    </w:p>
    <w:p/>
    <w:p>
      <w:r>
        <w:rPr>
          <w:b/>
        </w:rPr>
        <w:t>[Pages 1–3]</w:t>
      </w:r>
    </w:p>
    <w:p>
      <w:r>
        <w:t xml:space="preserve">CASE No. IV/M.873 -  </w:t>
        <w:br/>
        <w:t xml:space="preserve">BANK AUSTRIA /  </w:t>
        <w:br/>
        <w:t xml:space="preserve">CREDITANSTALT  </w:t>
        <w:br/>
        <w:t xml:space="preserve">Only the German text is available and binding.  </w:t>
        <w:br/>
        <w:t xml:space="preserve">REGULATION (EEC) No. 4064/89  </w:t>
        <w:br/>
        <w:t xml:space="preserve">ON MERGER PROCEDURES  </w:t>
        <w:br/>
        <w:t xml:space="preserve">Article 6, Paragraph 1, b NO OBJECTIONS  </w:t>
        <w:br/>
        <w:t xml:space="preserve">Date: 11/03/1997  </w:t>
        <w:br/>
        <w:t xml:space="preserve">Also available in the CELEX database  </w:t>
        <w:br/>
        <w:t xml:space="preserve">Document number 397M0873  </w:t>
        <w:br/>
        <w:t xml:space="preserve">Office for Official Publications of the European Communities  </w:t>
        <w:br/>
        <w:t>L-2985 Luxembourg</w:t>
      </w:r>
    </w:p>
    <w:p>
      <w:r>
        <w:t xml:space="preserve">COMMISSION OF THE EUROPEAN COMMUNITIES  </w:t>
        <w:br/>
        <w:t xml:space="preserve">Brussels, 11.03.1997  </w:t>
        <w:br/>
        <w:t xml:space="preserve">PUBLIC VERSION  </w:t>
        <w:br/>
        <w:t xml:space="preserve">Registered mail with  </w:t>
        <w:br/>
        <w:t xml:space="preserve">acknowledgment of receipt  </w:t>
        <w:br/>
        <w:t xml:space="preserve">To the parties involved in the merger  </w:t>
        <w:br/>
        <w:t xml:space="preserve">ARTICLE 6(1)(b) DECISION  </w:t>
        <w:br/>
        <w:t xml:space="preserve">Re: Case No. IV/M.873 - Bank Austria/Creditanstalt  </w:t>
        <w:br/>
        <w:t>Notification of 10 February 1997 pursuant to Article 4 of Regulation (EEC) No. 4064/89 of the Council</w:t>
      </w:r>
    </w:p>
    <w:p>
      <w:r>
        <w:t xml:space="preserve">Dear Sir or Madam,  </w:t>
        <w:br/>
        <w:t>1. On 10 February 1997, Bank Austria Aktiengesellschaft, Vienna ("Bank Austria"), notified the intention to acquire sole control of Creditanstalt-Bankverein, Vienna ("Creditanstalt"). Following the examination of the notification, the Commission has determined that the notified transaction falls within the scope of Council Regulation (EEC) No. 4064/89 (Merger Control Regulation) and that, based on the commitments made by the notifying party, there are no serious doubts regarding its compatibility with the Common Market and the Treaty on the European Economic Area (EEA).</w:t>
      </w:r>
    </w:p>
    <w:p>
      <w:r>
        <w:t xml:space="preserve">I. The Parties  </w:t>
        <w:br/>
        <w:t xml:space="preserve">2. Bank Austria is a universal bank primarily operating in Austria and conducts all essential banking activities either directly or through subsidiaries. It also holds stakes in companies operating in various other sectors of the economy, particularly in construction, real estate, as well as insurance, hotel, and tourism sectors.  </w:t>
        <w:br/>
        <w:t xml:space="preserve">3. The largest shareholder of Bank Austria is currently the Anteilsverwaltung-Zentralsparkasse, Vienna ("AVZ"), which is connected to Bank Austria within the meaning of Article 5 Paragraph 4 of the Merger Control Regulation. According to the notifying party, the AVZ directly holds 39.93% of the share capital and 45.15% of the voting rights in Bank Austria, indirectly through Wiener Holding an additional 3.53% of the share capital and 4% of the voting rights, and through GiroCredit 0.81% of the share capital and 0.61% of the voting rights. The AVZ holds stakes in GiroCredit amounting to 51.18% of the capital and 56.06% of the voting rights and in Wiener Holding amounting to 55.9% of the capital and voting rights. Thus, including the companies it controls, the AVZ holds 49.76% of the voting capital of Bank Austria.  </w:t>
        <w:br/>
        <w:t xml:space="preserve">4. The City of Vienna holds 0.16% of the share capital and 0.19% of the voting rights in Bank Austria. Wiener Stadtwerke, a municipal enterprise of the City of Vienna, holds 0.43% of the share capital and 0.48% of the voting rights. Wiener Städtische Allgemeine Versicherung AG holds 7.59% of the share capital and 6.3% of the voting rights. Other shareholders include Post and Telekom Beteiligungsverwaltungsgesellschaft mbH, Westdeutsche Landesbank Girozentrale, Cassa di Risparmio delle Provincie Lombarde S.p.A. (Cariplo), Hamburg-Mannheimer Versicherung AG, Bank für Arbeit und Wirtschaft AG, Nippon Life, and Kyoei Life. 12.74% of the share capital, corresponding to 6.06% of the voting rights, is held in free float. According to the notifying party, at the general meetings, 93.8% of the voting capital was present in 1994, 95.2% in 1995, and 97.1% in 1996.  </w:t>
        <w:br/>
        <w:t xml:space="preserve">5. AVZ is an Austrian municipal savings bank, which according to the notifying party has no shareholders. The City of Vienna is liable according to § 2 Paragraph 1 of the Austrian Savings Bank Act for the liabilities of the AVZ as a guarantor according to § 1356 of the Austrian General Civil Code. The AVZ, in turn, is liable according to § 92 Paragraph 9 of the Banking Act with its entire assets for all current and future liabilities of Bank Austria in the event of its insolvency.  </w:t>
        <w:br/>
        <w:t xml:space="preserve">6. The business of the AVZ is managed by a board, which is supervised by a savings bank council according to § 10 Paragraph 1 of the AVZ's articles of association as amended on 24 January 1997. The savings bank council is assigned a number of additional tasks according to § 10 Paragraph 2 of the articles of association, which include, according to § 10 Paragraph 2 letter b) of the articles of association, the appointment and revocation of the appointment of board members, including the chairperson of the board and their deputy. Furthermore, according to § 10 Paragraph 3 of the articles of association, the resolutions of the board listed in § 14 of the articles of association require the approval of the savings bank council. The savings bank council consists of the mayor of the City of Vienna and seven other members, four of whom are also members of the supervisory board of Bank Austria. All members of the savings bank council are elected by the municipal council of the City of Vienna. In addition, all members of the board of the AVZ are simultaneously members of the board of Bank Austria.  </w:t>
        <w:br/>
        <w:t xml:space="preserve">7. Creditanstalt is a universal bank that is also primarily active in Austria. Creditanstalt also holds numerous stakes in third-party companies. These include stakes in companies in the construction industry, real estate sector, and vehicle technology.  </w:t>
        <w:br/>
        <w:t xml:space="preserve">II. The Project  </w:t>
        <w:br/>
        <w:t>2</w:t>
      </w:r>
    </w:p>
    <w:p>
      <w:r>
        <w:rPr>
          <w:b/>
        </w:rPr>
        <w:t>[Pages 4–6]</w:t>
      </w:r>
    </w:p>
    <w:p>
      <w:r>
        <w:t>8. The project is related to the privatization of Creditanstalt by the Republic of Austria. For this purpose, the Republic had offered the common shares it owned in Creditanstalt, which accounted for 69.45% of all voting rights, for sale. On January 12, 1997, the Austrian Federal Minister of Finance awarded the contract to the binding offer submitted by Bank Austria on December 14, 1996.</w:t>
      </w:r>
    </w:p>
    <w:p>
      <w:r>
        <w:t>9. In this context, the political agreement between the coalition parties ÖVP and SPÖ forming the Austrian government regarding the "Future Approach to Privatization and Capital Market Reform as well as CA Sale" must be taken into account. This agreement stipulates, among other things, that Creditanstalt is to continue as an independent company for a minimum of five years. Furthermore, AVZ is to divest its stake in GiroCredit as soon as possible, and the Republic of Austria is to sell its indirect stake of 18.9% in Bank Austria during the year 1997.</w:t>
      </w:r>
    </w:p>
    <w:p>
      <w:r>
        <w:t>10. Based on this agreement, a suspensive condition was included in the share purchase agreement through a supplementary purchase contract between the Republic of Austria and Bank Austria, under which AVZ commits to ensure that the shares of AVZ and Wiener Holding in the voting capital of Bank Austria are reduced to a total of below 25% by [...] 1. The agreement provides that only the Republic is entitled to waive this suspensive condition. The Federal Minister of Finance has made a declaration to the Commission stating that the Republic of Austria will not release AVZ from its obligations arising from the supplementary contract.</w:t>
      </w:r>
    </w:p>
    <w:p>
      <w:r>
        <w:t>11. According to the applicant, the indirect liability of the City of Vienna through AVZ as a guarantor for the liabilities of Bank Austria does not extend to the liabilities of Creditanstalt. A statutory extension of the liability of the City of Vienna due to the merger does not arise from Austrian banking law (in particular, the Savings Bank Act and the Banking Act), nor from stock corporation law provisions. Creditanstalt, as an investment company of Bank Austria, will not enjoy any different status than the other investment companies of Bank Austria, whose liabilities are also not covered by the liability. An insolvency of Creditanstalt would not change this legal situation, i.e., it would not trigger any liability for Bank Austria.</w:t>
      </w:r>
    </w:p>
    <w:p>
      <w:r>
        <w:t>III. Merger</w:t>
      </w:r>
    </w:p>
    <w:p>
      <w:r>
        <w:t>12. Through the intended project, Bank Austria will acquire 69.45% of the voting rights in Creditanstalt and thus sole control. This constitutes a merger within the meaning of Article 3(1)(b) of the Merger Control Regulation.</w:t>
      </w:r>
    </w:p>
    <w:p>
      <w:r>
        <w:t>IV. Community-wide Significance</w:t>
      </w:r>
    </w:p>
    <w:p>
      <w:r>
        <w:t>13. The worldwide total turnover of Bank Austria and Creditanstalt, calculated according to Article 5(3) of the Merger Control Regulation, exceeds 5 billion ECU. The worldwide total turnover of Bank Austria is approximately 7.4 billion ECU (including AVZ approximately 10.3 billion) and that of Creditanstalt over 9.1 billion ECU. Both companies achieve a community-wide turnover of more than 250 million ECU each. The community-wide total turnover of Bank Austria is approximately 6.3 billion ECU (including AVZ approximately 8.6 billion ECU) and that of Creditanstalt approximately 9.1 billion ECU. Only Bank Austria generated more than two-thirds of its community-wide turnover in Austria in the last financial year. According to Creditanstalt, its turnover in Austria was only 61.7% of its community-wide turnover. The turnover figures are based on 1995, as audited figures for 1996 are not yet available. However, the Commission is not aware of any indications that the turnover generated by Creditanstalt in Austria in 1996 exceeded two-thirds of its community-wide turnover.</w:t>
      </w:r>
    </w:p>
    <w:p>
      <w:r>
        <w:t>V. Competitive Assessment</w:t>
      </w:r>
    </w:p>
    <w:p>
      <w:r>
        <w:t>14. According to the Commission's investigations, the merger project does not lead to the creation or strengthening of a dominant market position in most economic sectors in which the merging parties operate. However, the effects in the banking sector and the construction sector require closer examination.</w:t>
      </w:r>
    </w:p>
    <w:p>
      <w:r>
        <w:t>A. Banking and Financial Services</w:t>
      </w:r>
    </w:p>
    <w:p>
      <w:r>
        <w:t>1. Relevant Product Markets</w:t>
      </w:r>
    </w:p>
    <w:p>
      <w:r>
        <w:t>15. According to the established case law of the Commission, the services typically provided by a universal bank are generally distinguished for the purposes of merger control into three areas: retail banking, corporate banking with non-banks, and money market and securities transactions. These areas differ initially by the composition of the demand side, but also by the nature and composition of the services typically offered. Furthermore, the distribution of services generally occurs through different distribution channels, and the competitive parameters have different significance in the individual areas. Regarding the situation in Austria, the investigations have confirmed this view of the Commission. Practically all surveyed banks consider the distinction between retail banking and corporate banking to be relevant and necessary for assessing market conditions.</w:t>
      </w:r>
    </w:p>
    <w:p>
      <w:r>
        <w:t>16. The entire retail banking business is initially fundamentally distinguished into the product segments of deposit business and credit business. For a separate consideration of savings deposits from the entire deposit business, the fact that in Austria, as in practically all countries in Europe, there are specific legal regulations for savings deposits speaks. In addition, banks provide services within the framework of retail banking in the areas of payment transaction processing, including the issuance of checks and payment cards, credit card business, securities deposit business, asset management, and fund management (investment funds).</w:t>
      </w:r>
    </w:p>
    <w:p>
      <w:r>
        <w:t>17. The general corporate banking business with non-banks particularly includes the product segments of payment transaction processing (especially electronic banking services), deposit business, credit business, documentary business, and foreign trade financing. The entire credit business is fundamentally distinguished into the segments of short-term loans (working capital loans) and long-term loans (investment loans). Furthermore, due to the special conditions in lending and the different legal and competitive frameworks in this area, "loans with a public funding component" (subsidized loans) can be considered separately. The so-called interbank business, i.e., the deposit and credit business between banks, as well as credit transactions with the public sector, are not included in corporate banking due to fundamental differences in the composition of market participants and competitive conditions.</w:t>
      </w:r>
    </w:p>
    <w:p>
      <w:r>
        <w:t>18. The so-called investment banking must be distinguished from the general corporate banking business, which particularly includes the product segments of M&amp;A advisory, initial public offerings of companies, as well as the issuance of shares and bonds ('primary market'). The entire bond issuance business can further be distinguished into the segments of issuing government bonds and non-bank bonds, as well as self-issuances by banks. All other activities (trading in stocks and bonds, derivative transactions, etc.) do not fall within the core area of investment banking and are assigned here to money market and securities transactions.</w:t>
      </w:r>
    </w:p>
    <w:p>
      <w:r>
        <w:t>19. The area of money market and securities transactions particularly includes the product segments of trading in stocks and bonds ('secondary market'), derivative transactions (swaps and options), foreign exchange and currency transactions, as well as other money market instruments.</w:t>
      </w:r>
    </w:p>
    <w:p>
      <w:r>
        <w:rPr>
          <w:b/>
        </w:rPr>
        <w:t>[Pages 7–9]</w:t>
      </w:r>
    </w:p>
    <w:p>
      <w:r>
        <w:t>20. The area of other financial services particularly includes the markets for leasing and factoring.</w:t>
      </w:r>
    </w:p>
    <w:p>
      <w:r>
        <w:t>21. Whether the individual segments of the aforementioned areas represent separate relevant product markets does not ultimately need to be decided in the present case, as the commitments made by the applicant address the competitive issues existing in individual segments (see below).</w:t>
      </w:r>
    </w:p>
    <w:p>
      <w:r>
        <w:t>2. Geographically relevant markets</w:t>
      </w:r>
    </w:p>
    <w:p>
      <w:r>
        <w:t>22. According to the applicant, the markets for banking and financial services are undergoing a profound transformation due to the ongoing liberalization within the European Union, the impending introduction of a single European currency (Euro), and the advancement of electronic banking services, such that the assumption of national markets does not accurately reflect the actual competitive conditions.</w:t>
      </w:r>
    </w:p>
    <w:p>
      <w:r>
        <w:t>23. For the area of retail banking, the Commission has repeatedly decided in the past that competitive conditions in the individual member states still differ significantly despite a trend towards increasing internationalization, and factors such as language differences, customer preferences for local providers, the importance of branch networks, transaction costs, and the often limited activities of banks in Europe to individual member states speak in favor of delineating national markets in the medium term. Regarding the situation in Austria, the investigations have confirmed this view of the Commission. The overwhelming majority of surveyed banks emphasized the importance of a dense branch network in retail banking despite the ongoing introduction of electronic distribution channels ('home banking'). Direct banking offerings concern payment transactions and some standard products and are currently limited to the territories of individual member states; their cross-border introduction is not expected until the introduction of a single European currency.</w:t>
      </w:r>
    </w:p>
    <w:p>
      <w:r>
        <w:t>24. For the area of corporate banking, the Commission has so far held the view that at least certain product segments continue to be demanded and offered at the national level despite ongoing internationalization, and that competitive conditions in these segments still differ significantly among the individual member states. These product segments particularly include payment transaction processing, deposit and credit business, documentary business, and foreign trade financing. Regarding the situation in Austria, the investigations have confirmed this view of the Commission. The processing of documentary business often requires the physical presence of the commissioned bank in close proximity to the customer. For this reason, a widespread branch network, alongside the number of international correspondent banks, is the main argument for selecting the bank commissioned with the documentary business. Foreign trade financing is often heavily influenced by national economic policy and the instruments offered for export promotion. Ultimately, however, it does not need to be decided in the present case whether the mentioned segments of corporate banking are (still) national markets, as the commitments made by the applicant address the competitive issues existing in individual segments (see below).</w:t>
      </w:r>
    </w:p>
    <w:p>
      <w:r>
        <w:t>25. Services in the area of investment banking, which typically require detailed knowledge of national corporate law as well as corporate structures, accounting, and local market customs, will still be demanded and offered at the national level in the foreseeable future. This applies to services related to the initial public offering of companies and the issuance of shares and bonds, particularly for the issuance of bonds by local authorities. Government bonds are usually issued in the respective home currency, which is why this segment must still be delineated nationally until the introduction of a single European currency.</w:t>
      </w:r>
    </w:p>
    <w:p>
      <w:r>
        <w:t>26. Regarding the geographically relevant market for money market and securities transactions, the Commission has repeatedly decided that these services are at least demanded and offered on a European level. Since the new corporate entity will only occupy a middle position among other European banks, no competitive problems are to be expected in this area; furthermore, the merging parties are competing here with large American investment banks such as Goldman Sachs, Merrill Lynch, Morgan Stanley, and J.P. Morgan. The area of money market transactions will therefore not be considered further.</w:t>
      </w:r>
    </w:p>
    <w:p>
      <w:r>
        <w:t>27. The geographical market delineation in the area of other financial services does not ultimately need to be decided here, as the intended merger does not lead to competitive problems in Austria. In the Austrian leasing market, the merging parties, according to the applicant, achieve a joint share of [10 - 20%]; in the factoring market, Bank Austria is not active, and the merger does not lead to market share additions in this respect. The area of other financial services will therefore not be considered further.</w:t>
      </w:r>
    </w:p>
    <w:p>
      <w:r>
        <w:t>3. Effects of the merger</w:t>
      </w:r>
    </w:p>
    <w:p>
      <w:r>
        <w:t>a) The position of the merging parties in the Austrian banking sector</w:t>
      </w:r>
    </w:p>
    <w:p>
      <w:r>
        <w:t>28. The notified project concerns the merger of the two leading universal banks in Austria, Bank Austria and Creditanstalt. Measured by total assets, the new corporate entity will be approximately five times larger than the next largest Austrian bank. After the merger, the two companies will not only be the far leading provider of banking services in Austria but will also be the only bank with significant market shares in all relevant product segments. The merging parties are also significantly active in the European foreign markets, while their largest competitors in Austria operate almost exclusively in this member state. In comparison with other large banks in Europe, however, the new corporate entity only ranks 30th and achieves only about a quarter of the consolidated total assets of the leading large bank in Europe, Deutsche Bank AG.</w:t>
      </w:r>
    </w:p>
    <w:p>
      <w:r>
        <w:t>29. The AVZ currently holds a stake of 56.06% in GiroCredit. Since the AVZ is connected to Bank Austria within the meaning of Article 5 paragraph 4 of the Merger Control Regulation (see above), the stake of the AVZ in GiroCredit is attributable to the merging parties for the competitive assessment. Therefore, the notified project also results in a merger of the three leading banks in Austria. Taking GiroCredit into account, the new corporate entity would even be more than six times larger than the next largest Austrian bank. GiroCredit is the leading institution of the Austrian savings bank sector and primarily acts as the clearing house for the Austrian savings banks. According to its own statements, the relationship with the Austrian savings banks is the cornerstone of GiroCredit's business policy. However, the company is also significantly active in retail and corporate banking and has 50 branches. The largest shareholder after the AVZ is currently DIE ERSTE österreichische Spar-Casse AG (22.48%). GiroCredit holds minority stakes in several regional municipal savings banks.</w:t>
      </w:r>
    </w:p>
    <w:p>
      <w:r>
        <w:t>30. Through the intended merger, Bank Austria, Creditanstalt, and GiroCredit together also acquire a majority stake in Oesterreichische Kontrollbank AG and Österreichische Investitionskredit AG. In the competitive assessment of the notified project, it should also be considered that Bank Austria, Creditanstalt, and GiroCredit - partially individually, partially jointly - hold significant stakes in other Austrian banks and financial institutions:</w:t>
      </w:r>
    </w:p>
    <w:p>
      <w:r>
        <w:rPr>
          <w:b/>
        </w:rPr>
        <w:t>[Pages 10–12]</w:t>
      </w:r>
    </w:p>
    <w:p>
      <w:r>
        <w:t>Banking Investments of the Merging Parties</w:t>
        <w:br/>
        <w:t>Investment Company Bank Credit- Giro- Total</w:t>
        <w:br/>
        <w:t>Austria Institution Credit</w:t>
        <w:br/>
        <w:t>Oesterreichische Kontrollbank 35.25% 24.75% 7.64% 67.64%</w:t>
        <w:br/>
        <w:t>Österreichische Investkredit 20.88% 19.19% 10.14% 50.21%</w:t>
        <w:br/>
        <w:t>Bankinvest Austria GmbH 50.0% -- 50.0% 100.0%</w:t>
        <w:br/>
        <w:t>Österreichische Investment GmbH -- 71.13% -- 71.13%</w:t>
        <w:br/>
        <w:t>BA Investmentbank Austria 81.7% -- -- 81.7%</w:t>
        <w:br/>
        <w:t>CA-EA Investment GmbH -- 50.0% -- 50.0%</w:t>
        <w:br/>
        <w:t>HYPO-Bank Burgenland 34.13% -- -- 34.1%</w:t>
        <w:br/>
        <w:t>Bank für Tirol und Vorarlberg -- 41.7% -- 41.7%</w:t>
        <w:br/>
        <w:t>Bank für Oberösterreich und Salzburg -- 31.6% -- 31.6%</w:t>
        <w:br/>
        <w:t>Bank für Kärnten und Steiermark -- 29.1% -- 29.1%</w:t>
        <w:br/>
        <w:t>FactorBank -- 45.16% -- 45.2%</w:t>
        <w:br/>
        <w:t>Bankhaus Denzel AG -- 40.0% -- 40.0%</w:t>
        <w:br/>
        <w:t>AVABank AG -- 69.38% -- 69.4%</w:t>
        <w:br/>
        <w:t>NÖ Kapitalbeteiligungs mbH 10.0% -- 20.0% 30.0%</w:t>
        <w:br/>
        <w:t>ADRIA Bank AG 24.0% 12.0% -- 36.0%</w:t>
        <w:br/>
        <w:t>Source: Information from the applicant; annual reports.</w:t>
        <w:br/>
        <w:t>31. HYPO-Bank Burgenland ("Bank Burgenland") ranks 19th among Austrian banks based on total assets and claims to hold a leading market position in the state of Burgenland. Bank für Oberösterreich und Salzburg ("Oberbank") is a universal bank focusing on corporate banking and foreign trade financing. Bank für Kärnten und Steiermark ("BKS") claims to be one of the most significant regional banks in Austria, focusing on corporate banking. Bank für Tirol und Vorarlberg ("BTV") claims to hold a leading position in both federal states and primarily engages in corporate banking as well as business with affluent private clients. Although the mentioned banks cannot be attributed to the merging parties in the sense of Article 5 paragraph 4 of the Merger Control Regulation, the rights and influence possibilities conveyed through the minority stakes in these competitors must be taken into account in the competitive assessment.</w:t>
        <w:br/>
        <w:t>9</w:t>
      </w:r>
    </w:p>
    <w:p>
      <w:r>
        <w:t>b) The Leading Credit Institutions and Banks in Austria</w:t>
        <w:br/>
        <w:t>32. The Raiffeisen banking group in Austria is structured in three tiers. The first tier consists of 706 legally independent Raiffeisen banks with 1,732 branches, primarily active in retail banking. The second tier consists of nine regional Raiffeisen state banks ("RLB") at the level of the Austrian federal states, which together hold 80% of the share capital of Raiffeisen Zentralbank Österreich AG ("RZB"). The RLBs act as clearing houses for the primary banks and provide them with extensive service and consulting offerings; in addition, they conduct proprietary business with small and medium-sized enterprises. The RZB acts as the representative of the Raiffeisen banking group and conducts proprietary business, particularly with large clients. Although the individual Raiffeisen banks are in a limited competitive relationship with each other due to the unified market presence and the principle of regionality, they remain legally independent entities that do not have to follow the instructions of the RLBs and/or the RZB.</w:t>
        <w:br/>
        <w:t>33. DIE ERSTE österreichische Spar-Casse AG ("Die ERSTE") is, based on total assets, the largest competitor of the merging parties and operates almost exclusively in Austria. The company's focus is on retail banking, asset management, lending to public law debtors, and housing finance. DIE ERSTE currently holds a stake of 22.48% in GiroCredit.</w:t>
        <w:br/>
        <w:t>34. Bank für Arbeit und Wirtschaft AG ("BAWAG") conducts banking business of all kinds with a focus on retail banking, particularly deposit business, lending, securities business, and the issuance of mortgage bonds and municipal bonds. The vast majority of the company's business activities are concentrated in Austria. BAWAG is jointly controlled by the Austrian Trade Union Federation and BayernLB.</w:t>
        <w:br/>
        <w:t>35. Österreichische Volksbanken-AG ("ÖVAG") is the leading institution of the Austrian cooperative banking sector and also operates as a universal bank. As the leading institution, ÖVAG provides services to the cooperative banks, ensures liquidity balancing within the sector, and conducts payment transactions and the settlement of securities business. As a universal bank, its focus is on small and medium-sized enterprises as well as retail banking.</w:t>
        <w:br/>
        <w:t xml:space="preserve">36. The Postsparkasse is a public law institution and is to be converted into a stock corporation during the year 1997. The business activities of the Postsparkasse are limited to Austria and essentially cover the areas of retail banking and payment transactions. Due to the currently existing investment restrictions to the public sector, the Postsparkasse is not permitted to grant loans to private and corporate clients. </w:t>
        <w:br/>
        <w:t>14 See Case No. IV/M.IV/M.621 - BLG/BAWAG, paragraph 9.</w:t>
        <w:br/>
        <w:t>10</w:t>
      </w:r>
    </w:p>
    <w:p>
      <w:r>
        <w:t>In these business areas, however, it operates through its subsidiary, Bank der Österreichischen Postsparkasse AG ("PSK Bank").</w:t>
        <w:br/>
        <w:t>37. The Austrian banks that are foreign-owned include primarily: Société Générale (Austria) Bank AG, ABN AMRO Bank (Österreich) AG, Deutsche Bank (Austria) AG, Credit Lyonnais Bank (Austria) AG, Citibank (Austria) AG, Schoellerbank (Bayerische Vereinsbank), San-Paolo Bank (Austria) AG. These foreign banks are represented in Austria by only a few branches and have achieved very low market shares despite sometimes long-standing presence. Often, their activities are limited to a few selected product segments.</w:t>
        <w:br/>
        <w:t>c) The Affected Markets in Detail</w:t>
        <w:br/>
        <w:t>(1) Retail Banking</w:t>
        <w:br/>
        <w:t>38. For the processing of payment transactions, retail customers maintain salary and/or current accounts. The account holders can access the balances on these accounts (sight deposits) without prior notice; they are therefore generally used for payment transactions. Typically, banks also grant account holders the option to utilize an overdraft facility for short-term liquidity bridging. Account holders access their balances or the granted overdraft facility through payment instructions to their bank or through checks and payment cards (bank service cards, EC cards, chip cards, and other debit cards). Due to the close substantive connection, the number of established current accounts, the number of issued EC cards (with PIN number), and the volume of sight deposits can be used as indicators for the position of the merging parties in the payment transaction processing segment. Through the merger, Bank Austria and Creditanstalt achieve joint shares between [15 - 25%]; GiroCredit achieves shares of less than 3%. The largest competitors are DIE ERSTE (5 - 10%) and BAWAG (less than 10%). The Postsparkasse achieves a share of 15 - 20% of all issued EC cards, over 10% of the total number of current accounts, and 5 - 10% of the volume of sight deposits. The largest Raiffeisen bank, RLB Steiermark, achieves a share of 3 - 8%. Given this market structure, the emergence or strengthening of a dominant market position through the merger is not to be expected.</w:t>
        <w:br/>
        <w:t>39. In addition to debit cards, banks also issue credit cards to their customers and collect the payment obligations that these customers incur with the contractual partners (acceptance points) of the credit card organizations. In Austria, credit cards from all major global organizations are issued and accepted, particularly VISA, MasterCard (Eurocard), American Express, and Diners. Bank Austria distributes VISA and Eurocard; Creditanstalt issues Eurocard, Diners Club, and American Express. Based on the number of issued cards, the merging parties achieve a joint share of [30 - 40%]; GiroCredit achieves a share of less than 1%. Taking GiroCredit into account, the merging parties would be [multiple times] larger than the next largest competitor. The high market share primarily results from the strong position that Bank Austria holds in the...</w:t>
      </w:r>
    </w:p>
    <w:p>
      <w:r>
        <w:rPr>
          <w:b/>
        </w:rPr>
        <w:t>[Pages 13–15]</w:t>
      </w:r>
    </w:p>
    <w:p>
      <w:r>
        <w:t>issuance of VISA cards. Until 1985, the company was the exclusive licensee of the VISA organization in Austria. In 1985, the license transitioned to a so-called 'open-group-membership', whose members have the right to issue their own VISA credit cards. In principle, any bank can become a member of this 'membership'; currently, there are 12 VISA partner banks in Austria. Since 1985, the share of Bank Austria in all issued VISA credit cards has decreased to [&lt; 55%] due to the admission of new members; the Raiffeisen banking group has increased its share to nearly 30% (information from the parties; as of June 30, 1995). Therefore, Bank Austria has only participated below average in the strong growth of the credit card market in Austria; it is expected that the share of Bank Austria will continue to decline. Even considering that credit cards compete with several other national and international means of payment, the emergence or strengthening of a dominant market position is not to be expected.</w:t>
      </w:r>
    </w:p>
    <w:p>
      <w:r>
        <w:t>40. In the entire deposit business, Bank Austria and Creditanstalt achieve a joint share of [15 - 20%]; GiroCredit holds a share of less than 5%. The largest competitors are DIE ERSTE, BAWAG, the Postsparkasse, and RLB Steiermark (each 5 - 10%). In the product segment of savings deposits, Bank Austria and Creditanstalt achieve a joint share of [&lt; 15%]. GiroCredit holds a share of less than 5%. The largest competitors here are BAWAG and DIE ERSTE (each 5 - 10%). The largest Raiffeisen bank, RLB Steiermark, achieves a share of more than 5% in savings deposits. Finally, the deposit business overall is very transparent and characterized by strong competition on terms. This follows from the extensive standardization of products as well as from the fact that interest rates on deposits are generally known through branch postings, and daily newspapers and consumer organizations regularly conduct and publish price comparisons. Under these conditions, the emergence or strengthening of a dominant market position through the merger is not to be expected.</w:t>
      </w:r>
    </w:p>
    <w:p>
      <w:r>
        <w:t>41. In the credit business, Bank Austria and Creditanstalt achieve a joint share of [15 - 20%]; GiroCredit holds a share of over 10%. Taking GiroCredit into account, the merging parties achieve a joint share of [25 - 35%] and would thus be [multiple times] larger than the next largest competitor, DIE ERSTE. The banks in which the merging parties hold significant stakes (see above) achieve a joint share of approximately 3.6%. In contrast, none of the competitors achieve a share of more than 5%. The foreign banks in Austria named by the applicant achieve a joint share of less than 1%. Given this market structure and based on the investigation results available, there are significant indications that the merger will lead to the emergence or strengthening of a dominant market position (see below).</w:t>
      </w:r>
    </w:p>
    <w:p>
      <w:r>
        <w:t>42. The securities deposit business concerns the purchase and sale as well as the safekeeping and management of securities of all kinds in the name and for the account of the customer. According to the Commission's investigations, the market value of securities portfolios in Austria amounted to approximately 154 billion ECU (1996). Bank Austria and Creditanstalt together hold a joint share of [25 - 35%]; GiroCredit holds a share of less than 5%. Taking GiroCredit into account, the merging parties achieve a joint share of [30 - 40%] and would thus be [multiple times] larger than the next largest competitor, DIE ERSTE. Additionally, the banks in which the merging parties hold significant stakes (see above) combine for a joint share of approximately 5.3%. In contrast, none of the competitors achieve a share of more than 5%. The foreign banks in Austria named by the applicant achieve a joint share of less than 1%. Given this market structure and based on the investigation results available, there are significant indications that the merger will lead to the emergence or strengthening of a dominant market position (see below).</w:t>
      </w:r>
    </w:p>
    <w:p>
      <w:r>
        <w:t>43. In the context of asset management, the banks act on behalf of and for the account of individual investors in the capital markets based on an agreement with them. Bank Austria is active in asset management through Bankinvest Austria GmbH ("Bankinvest"), in which it holds a 50% stake; the remaining shares are held by GiroCredit. Creditanstalt is active here through its subsidiary Österreichische Investment GmbH ("ÖIG") and CA-EA Investment GmbH (50%); the remaining shares in CA-EA Investment are held by EA Generali AG. According to the Commission's investigations, the market value of securities held in Austria under asset management amounted to approximately 2.7 billion ECU (1996). Bankinvest holds a share of [15 - 25%]; ÖIG and CA-EA hold a share of approximately [15 - 20%]. The merging parties thus achieve a joint share of approximately [35 - 45%]. The next largest competitors are DIE ERSTE (15 - 20%), RZB (10 - 15%), ÖVAG (&lt; 10%), and BAWAG (&lt; 10%). Given this market structure, the emergence or strengthening of a dominant market position through the merger is not to be expected.</w:t>
      </w:r>
    </w:p>
    <w:p>
      <w:r>
        <w:t>44. An investment fund is understood to be a managed portfolio of securities based on the principle of risk diversification, in which investors participate by purchasing shares. Bank Austria is active in the investment fund business through Sparinvest Austria GmbH ("Sparinvest"), which is a 75% subsidiary of Bankinvest. Creditanstalt is active here through ÖIG. According to the Commission's investigations, the market value of investment funds in Austria amounted to approximately 27.9 billion ECU (1996). Sparinvest holds a share of approximately [20 - 30%]; Creditanstalt holds a share of [10 - 15%]. The merging parties thus achieve a joint share of [35 - 45%]. The next largest competitors are RZB (&gt; 30%), DIE ERSTE (&lt; 15%), and BAWAG (&lt; 5%). Given this market structure, the emergence or strengthening of a dominant market position through the merger is not to be expected.</w:t>
      </w:r>
    </w:p>
    <w:p>
      <w:r>
        <w:t>Intermediate Result: Retail Banking Business</w:t>
      </w:r>
    </w:p>
    <w:p>
      <w:r>
        <w:t>45. Taking GiroCredit into account, the merging parties will be the leading provider in the retail banking business after the merger (20 - 30%). However, competitive concerns arise only in the product segments of credit business and securities deposit business. Here, the merging parties achieve a joint share of [30 - 40%] and would thus be [multiple times] larger than the next largest competitors. None of these competitors has shares of more than 5% in this area. GiroCredit is a medium-sized provider in the affected segments (&gt; 10% or &lt; 5%). The banks in which the merging parties hold significant stakes (see above) achieve joint shares of 3.6% and 5.3%, respectively. The foreign banks in Austria named by the applicant achieve joint shares of less than 1%.</w:t>
      </w:r>
    </w:p>
    <w:p>
      <w:r>
        <w:t>46. The Commission has already established in a merger case concerning the markets for insurance services that market shares of 30% and more, under certain circumstances and with significant barriers to market entry, justify the risk of the emergence of a dominant market position and require a detailed investigation of the affected markets (see Case No. IV/M.862 - AXA/UAP). Such circumstances are also present in this case. The intended merger will affect the markets for banking services, which, similar to the markets for insurance services, are characterized by special institutional and legal frameworks (regulatory oversight) and differ significantly from the competitive conditions found in the markets for industrial and consumer goods.</w:t>
      </w:r>
    </w:p>
    <w:p>
      <w:r>
        <w:t>47. The markets for banking services in Austria exhibit significant barriers to market entry, which in the retail banking business particularly result from the necessity of being locally present through a widespread branch network. Retail customers typically maintain only a single banking relationship. Changing banks involves information and transaction costs, which is why customer loyalty is very pronounced. The mobility of bank customers is also reduced by the fact that maintaining multiple banking relationships and the associated division of deposits worsens borrowing opportunities. For these reasons, the takeover of traditionally established and long-standing business relationships by competitors is only to be expected in the long term. Foreign banks operating in Austria have achieved very low market shares despite sometimes long-standing presence and are overall too insignificant to exert a competitive influence in the medium term. The merging parties are the market leaders in Austria and have a multiple market share gap to the next largest competitors. Unlike the merging parties, none of these competitors is significantly active in all relevant product segments in Austria. The indirect connection to GiroCredit further establishes the risk that Bank Austria will exert a competitively significant influence on the...</w:t>
      </w:r>
    </w:p>
    <w:p>
      <w:r>
        <w:rPr>
          <w:b/>
        </w:rPr>
        <w:t>[Pages 16–18]</w:t>
      </w:r>
    </w:p>
    <w:p>
      <w:r>
        <w:t>Refinancing options for Austrian savings banks. Based on the investigation results, there are therefore significant indications that the merger in the two mentioned product segments of retail banking will lead to the creation or strengthening of a dominant market position.</w:t>
      </w:r>
    </w:p>
    <w:p>
      <w:r>
        <w:t>(2) Corporate Banking Business</w:t>
      </w:r>
    </w:p>
    <w:p>
      <w:r>
        <w:t>48. In the deposit business, Bank Austria and Creditanstalt achieve a joint share of [25 - 35%]; GiroCredit achieves a share of [&lt; 10%] (1995). Taking GiroCredit into account, the merging parties achieve a joint share of [30 - 40%] and would thus be [multiple times] larger than the next largest competitor, BAWAG (&lt; 10%). The banks in which the merging parties hold significant stakes (see above) achieve a joint share of approximately 7.5%. In contrast, with the exception of BAWAG, none of the competitors achieve a share of more than 5%. The foreign banks in Austria named by the applicant achieve a joint share of less than 4%. Given this market structure and based on the investigation results, there are significant indications that the merger will lead to the creation or strengthening of a dominant market position (see below).</w:t>
      </w:r>
    </w:p>
    <w:p>
      <w:r>
        <w:t>49. In the entire credit business, Bank Austria and Creditanstalt achieve a joint share of [15 - 25%]; GiroCredit achieves a share of over 5% (1995). Taking GiroCredit into account, the merging parties achieve a joint share of [20 - 30%] and would thus be [multiple times] larger than the next largest competitor, BAWAG (&lt; 5%). In the segment of "long-term loans," Bank Austria and Creditanstalt achieve a joint share of [15 - 20%]; GiroCredit achieves a share of over 15%. Taking GiroCredit into account, the merging parties achieve a joint share of [30 - 40%]. The investment credit company controlled by Bank Austria after the merger achieves a share of over 5%, and the banks in which the merging parties hold significant stakes (see above) achieve a joint share of approximately 5.8%. The foreign banks named by the applicant achieve a joint share of less than 3%. Given this market structure and based on the investigation results, there are significant indications that the merger will lead to the creation or strengthening of a dominant market position (see below).</w:t>
      </w:r>
    </w:p>
    <w:p>
      <w:r>
        <w:t>50. The documentary business of banks includes such diverse services as the collection of checks, bills of exchange, and other documents, as well as the issuance of documentary credits (including their confirmation) and payment guarantees. Indicators for the position of the merging parties in the entire documentary business were the issuance of export credits as well as the collection of checks and domestic bills of exchange. In check collection, the bank takes over the check with the instruction of the customer (goods seller) to receive the money from the bank of the check issuer against payment of a commission. In the total check collection in Austria, Bank Austria and Creditanstalt achieve a joint share of approximately [15 - 20%]; GiroCredit, in its function as the clearing house of the savings bank sector, achieves a share of [20 - 30%]. In the case of export credits, a payment obligation of the buyer's bank arises upon presentation of certain documents. In this segment, a share of [45 - 55%] is attributed to Bank Austria and Creditanstalt; GiroCredit achieves a share of less than 5%. In the collection of domestic bills of exchange, a share of [&lt; 25%] is attributed to Bank Austria and Creditanstalt; GiroCredit achieves a share of [&lt; 20%]. Taking GiroCredit into account, the merging parties achieve joint shares of 40 - 50% in the mentioned segments and would thus be [multiple times] larger than the next largest competitors. The banks in which the merging parties hold significant stakes (see above) achieve joint shares of 14.1%, 3.5%, and 20.2%, respectively. Given this market structure and based on the investigation results, there are significant indications that the merger will lead to the creation or strengthening of a dominant market position (see below).</w:t>
      </w:r>
    </w:p>
    <w:p>
      <w:r>
        <w:t>Interim Result: Corporate Banking Business</w:t>
      </w:r>
    </w:p>
    <w:p>
      <w:r>
        <w:t>51. Taking GiroCredit into account, the merging parties will be the leading providers in the corporate banking business after the merger (25 - 40%). However, competitive concerns arise only in the product segments of deposit business ([30 - 40%]), long-term credit business ([30 - 40%]), and documentary business (40 - 50%). The merging parties would be [multiple times] larger than the next largest competitor in these areas. GiroCredit is a medium-sized provider in the affected segments. The investment credit company achieves shares between 1% and 5%. The banks in which the merging parties hold significant stakes (see above) achieve joint shares of 7.5% (deposit business) and 5.8% (credit business). The foreign banks named by the applicant in Austria achieve joint shares of less than 4%.</w:t>
      </w:r>
    </w:p>
    <w:p>
      <w:r>
        <w:t>52. The Commission's finding that market shares of 30% or more in the markets for insurance and banking services may, under certain circumstances, pose the risk of creating a dominant market position and require a detailed investigation of the affected markets also generally applies to the area of corporate banking business. However, it should be noted that corporate clients are generally better informed and have greater leeway in their behavior towards banks than private clients. This is particularly true for large companies in Austria and for Austrian subsidiaries of foreign companies. Unlike in retail banking, banking services in corporate banking are less standardized and are often tailored to negotiated conditions on a case-by-case basis. Furthermore, the information and transaction costs associated with changing banks are not as significant, as corporate clients handle higher transaction volumes and typically maintain business relationships with several banks (house and secondary banks). Compared to private clients, corporate clients can also utilize a greater variety of financing instruments. The size of the branch network is of only minor importance in corporate banking.</w:t>
      </w:r>
    </w:p>
    <w:p>
      <w:r>
        <w:t>53. Nevertheless, corporate clients in Austria are dependent on business relationships with Austrian banks for various reasons. The introduction of so-called 'European Corporate Banking Offers' and the associated cross-border competition in the areas of payment transaction processing and the offering of standard products for smaller corporate clients is not expected to occur in the short term, certainly not within the next five years. Foreign banks operating in Austria have so far achieved only very small market shares and are overall too insignificant to exert a competitive influence in the medium term. The merging parties are the market leaders in Austria and have a multiple market share distance to the next largest competitors. Unlike the merging parties, none of these competitors are significantly active in all relevant product segments in Austria. In corporate banking, there is a lack of a strong alternative with an international profile, as currently represented by Bank Austria and Creditanstalt. Based on the investigation results, there are therefore significant indications that the merger will lead to the creation or strengthening of a dominant market position in the three mentioned product segments of corporate banking.</w:t>
      </w:r>
    </w:p>
    <w:p>
      <w:r>
        <w:t>Export Credit Insurance and Financing - The Participation in OeKB</w:t>
      </w:r>
    </w:p>
    <w:p>
      <w:r>
        <w:t>54. Foreign trade financing includes, in particular, the short-term financing of the delivery of consumer goods by production and trading companies abroad, as well as the longer-term financing of the export of capital goods (export financing). Since the credit risks for banks in the area of export financing are significant, export insurance is often additionally concluded by the lending banks. For transactions with debtors located within a member state of the OECD, export insurance is offered by private insurance companies ('marketable risks'). In other cases, particularly for the insurance of export credits against political risks, insurance with Oesterreichische Kontrollbank AG ("OeKB") is considered.</w:t>
      </w:r>
    </w:p>
    <w:p>
      <w:r>
        <w:t>55. Currently, twelve banks are indirectly and directly involved in OeKB, including Bank Austria (calculated: 35.25%), Creditanstalt (24.75%), and GiroCredit (7.64%). After the merger, the merging parties will hold a majority stake in OeKB. According to the applicant, this majority stake does not grant Bank Austria controlling influence over the business policy of OeKB, as the shareholders of OeKB have formed various holding companies at four levels and have concluded several syndicate agreements as shareholders of these holding companies. The resulting system is intended to ensure that each of the participating banks, either directly or through a holding company to which it belongs, has a blocking minority in the general meeting of OeKB for strategic decisions. However, this would change if Bank Austria, Creditanstalt, or GiroCredit terminated the existing syndicate agreements.</w:t>
      </w:r>
    </w:p>
    <w:p>
      <w:r>
        <w:rPr>
          <w:b/>
        </w:rPr>
        <w:t>[Pages 19–21]</w:t>
      </w:r>
    </w:p>
    <w:p>
      <w:r>
        <w:t>56. The focus of OeKB's activities lies in the areas of insurance of export risks through the granting of export credits and refinancing (debt restructuring) of export transactions. In addition, OeKB operates in the capital market and acts as the office for bond issuances, the main paying agent for bonds, a reporting office in accordance with the Capital Market Act, as well as the securities central bank of Austria. The liability arising from the insurance of export credits by OeKB is assumed by the federal government. OeKB, as the authorized representative of the federal government, conducts the banking technical processing (banking commercial assessment through creditworthiness checks and processing) of applications for liability assumption (§ 5 Abs. 1 of the Austrian Export Promotion Act). Decisions regarding liability assumptions are not made by the bodies of OeKB, but by the committees provided for in the Export Promotion Act for liability assumption (advisory boards). These committees are led by the Federal Ministry of Finance and consist of representatives from various chambers as well as the Austrian National Bank. OeKB itself participates in the meetings of the advisory boards without voting rights, but prepares the decision templates and advises the other advisory board members. In the area of refinancing export transactions, OeKB provides banks with funds upon request within the framework of export financing, provided that the banks meet OeKB's risk criteria and, on the other hand, fulfill both the legally prescribed requirements regarding the transactions to be financed and the conditions for the uniform processing of the financings. According to the Export Financing Promotion Act, all financings within the framework of the export financing procedure either require guarantees from the Republic of Austria or from credit insurers for the underlying transactions. In the context of debt restructuring loans, OeKB also acts as a direct lender. According to the applicant, OeKB's export financing business is primarily refinanced through bond issuances (182 billion ATS) and to a lesser extent through credit institutions (54 billion ATS). Of the business insured by OeKB, approximately [15 - 25%] was attributed to Bank Austria and Creditanstalt, with a further [&lt; 10%] attributed to GiroCredit.</w:t>
      </w:r>
    </w:p>
    <w:p>
      <w:r>
        <w:t>57. Several competitors interviewed by the Commission have expressed serious concerns that the consolidation of the holdings of Bank Austria, Creditanstalt, and GiroCredit in OeKB could effectively lead to an influence on the export insurance process in accordance with the interests of the future majority shareholder. There are fears that the intensity and duration of the banking technical processing of applications for liability assumption could be conducted in a discriminatory manner to the detriment of applicants who do not finance their transactions with the merging parties. This is particularly conceivable in cases where there is room for maneuver in granting export guarantees by OeKB. Furthermore, there is a possibility that Bank Austria could influence the capital market transactions and stock exchange dealings of OeKB in a manner oriented towards its own interests.</w:t>
      </w:r>
    </w:p>
    <w:p>
      <w:r>
        <w:t>58. OeKB performs tasks in the area of export insurance and financing that have been assigned to it by law. In the field of insurance of export credits against political risks, OeKB holds a monopoly position in Austria. In any case, 10% of the active and passive business or the commission business of OeKB is attributable to transactions whose terms or conclusion are subject to the influence of OeKB's shareholders. The remaining transactions are likely to be accessible to actual influence by OeKB's shareholders. Of the total export financing business of OeKB, the merging parties and GiroCredit accounted for a joint share of at least [40 - 50%]; this is a significantly higher share than corresponds to their position in the Austrian banking sector. Given OeKB's special function in the area of export insurance and financing in Austria, the leading position of the merging parties in foreign trade financing, as well as the objections raised by competitors, the Commission considers it necessary to thoroughly investigate the influence possibilities resulting from the acquisition of a majority stake in OeKB by Bank Austria. Based on the investigation results available, there are significant indications that the acquisition of a majority stake in OeKB could create or further strengthen a dominant market position for the merging parties in certain segments of corporate banking, particularly in foreign trade financing (see below).</w:t>
      </w:r>
    </w:p>
    <w:p>
      <w:r>
        <w:t>59. The Austrian Investment Credit AG ("Investkredit") is currently the tenth largest Austrian bank in terms of balance sheet total and primarily operates in the corporate banking sector. The company grants loans for industrial projects as a trustee within the framework of public funding programs from funds provided to Investkredit by the Republic of Austria. In addition, Investkredit also processes global loans from the European Investment Bank and the European Community for Coal and Steel. Approximately 37% of the granted loan volume was attributed to subsidized loans, while the remaining 67% was attributed to non-subsidized loans. Investkredit holds a leading market position in the processing and granting of subsidized loans in Austria.</w:t>
      </w:r>
    </w:p>
    <w:p>
      <w:r>
        <w:t>60. Bank Austria currently holds a direct and indirect stake of 20.88% in Investkredit; Creditanstalt holds 19.19% and GiroCredit holds 10.14% in Investkredit. The remaining shares in Investkredit are held primarily by the Postsparkasse, BAWAG, RZB, ÖVAG, DIE ERSTE, Schoellerbank, and OeKB. The ten main shareholders of Investkredit (together: approximately 93.06%) entered into a syndicate agreement on April 29, 1992. The supervisory board of Investkredit currently consists of 12 members (excluding employee representatives). The syndicate agreement stipulates that each member holding a stake of 8% or more is entitled to one seat on the supervisory board for every 8%. Currently represented on the supervisory board are: Bank Austria (2x), Creditanstalt (2x), Postsparkasse, GiroCredit, BAWAG, and RZB. Additionally, it is stipulated that ÖVAG (together with DIE ERSTE and Schoellerbank), a representative from the ministry, an industry representative, and a natural person (chairman) are also represented on the supervisory board. After the merger, the merging parties could occupy half of the supervisory board of Investkredit, taking GiroCredit into account. The supervisory board elects a credit committee consisting of seven members. Four members are appointed from among the syndicate members, including one member from each of the two largest shareholders (Bank Austria and Creditanstalt). Resolutions of the credit committee regarding borrowing, granting of loans, and the appointment of executive board members require at least a three-quarters majority. Through the merger, the merging parties will gain a blocking minority on the supervisory board and in the credit committee of Investkredit, thereby obtaining a controlling influence over the strategic areas of the business policy of this company.</w:t>
      </w:r>
    </w:p>
    <w:p>
      <w:r>
        <w:t>61. Given the strong market position of Investkredit in the business of subsidized loans, the Commission considers it necessary to thoroughly investigate the influence possibilities resulting from the acquisition of a majority stake in Investkredit and the blocking minority in the credit committee by Bank Austria. Based on the investigation results available, there are significant indications that the strengthening of Investkredit's strong position in the area of processing and granting subsidized loans could create or further strengthen a dominant market position for the merging parties in certain segments of corporate banking, particularly in the credit business (see below).</w:t>
      </w:r>
    </w:p>
    <w:p>
      <w:r>
        <w:t>(3) Investment Banking</w:t>
      </w:r>
    </w:p>
    <w:p>
      <w:r>
        <w:t>62. The gross volume of bond issuances in the Austrian bond market (excluding banks' own issuances) amounted to approximately 9.5 billion ECU (1995) and 8.3 billion ECU (1996), according to the applicant. Of this, approximately 8.2 billion ECU (86%) and 7.7 billion ECU (92%) were attributed to federal bonds issued through the yield tender procedure (Austrian government bonds). The remainder was attributed to freely syndicated bonds, particularly energy bonds, telecom bonds, etc. For the tender procedure of federal bonds, 18 banks are approved as so-called 'primary dealers'. Among them, in addition to the merging parties, are not only the other large Austrian banks (including: BAWAG, ERSTE, Postsparkasse, ÖVAG, RZB), but also nine foreign banks operating globally (including: Credit Suisse First Boston, Commerzbank, Deutsche Bank, Dresdner Bank, J.P. Morgan). In the federal bonds issued in 1996, Bank Austria achieved a allocation rate of a maximum of 16.7%, with Bank Austria not being considered at all in two cases. On average, Bank Austria's allocation rate was around 9%. The average allocation rate for Creditanstalt was about 10%, and for GiroCredit, it was around 7%. RZB accounted for a placement share of more than 20% in 1995 (see Annual Report 1995, p. 23). Since the allocation of the issuance quota is based on the bidders' bids regarding the volume and the interest rate at which they are willing to take on a quota, the tender procedure is transparent and highly competitive. Moreover, the main purchasers of the issued bonds in Austria are primarily institutional investors; only about 10% of the issuance volume is distributed to private and corporate customers through the branch network. In the freely syndicated bond issuances of non-banks, the merging parties achieved a share of [20 - 30%] in 1996. Therefore, the emergence or strengthening of a dominant market position through the merger is not to be expected.</w:t>
      </w:r>
    </w:p>
    <w:p>
      <w:r>
        <w:rPr>
          <w:b/>
        </w:rPr>
        <w:t>[Pages 22–24]</w:t>
      </w:r>
    </w:p>
    <w:p>
      <w:r>
        <w:t>63. The initial public offering involves the placement of shares of private or state-owned companies on the stock exchange (share issuance). According to the applicant, in 1995/96, four state-owned companies and one private company were introduced to the stock exchange with a total placement volume of approximately 521 million ECU (1995) and 623 million ECU (1996); of this, approximately 272 million ECU (52%) and 229 million ECU (37%) were placed on the Vienna Stock Exchange (domestic tranche). In 1996, Bank Austria accounted for about 37% of the placement share of the domestic tranche, and Creditanstalt for about 21%. In contrast, only 13.8% and 7.7% of the total placement volume were accounted for by Bank Austria and Creditanstalt, respectively. Initial public offerings are conducted by one or more so-called 'Lead Managers'. This 'Lead Manager' determines the members of the 'Underwriting' consortium, each of whom guarantees the sale of a specific portion of the shares to be placed. With one exception, the merging parties were involved as 'Lead Managers' in all initial public offerings of Austrian companies. However, they have never undertaken this task alone, but always together with other investment banks (SBC Warburg, Merrill Lynch, RZB, CS First Boston, Crédit Lyonnais, Deutsche Morgan Grenfell). The composition of the consortia shows that, in addition to the merging parties, other Austrian banks as well as foreign banks and investment banks admitted to the Vienna Stock Exchange are also involved in initial public offerings in Austria and will continue to be available as alternative options in the future. It is therefore not expected that the merger in the area of initial public offerings of companies in Austria will lead to the creation or strengthening of a dominant market position.</w:t>
      </w:r>
    </w:p>
    <w:p>
      <w:r>
        <w:t>4. The changes to the original merger</w:t>
      </w:r>
    </w:p>
    <w:p>
      <w:r>
        <w:t>64. Based on the investigation results, the Commission has concluded that the intended merger raises significant concerns regarding its compatibility with the Common Market, as it is currently assumed that it will lead to the creation or strengthening of dominant market positions in the Austrian markets for banking services, particularly in certain segments of retail and corporate banking, which would significantly impede effective competition in a substantial part of the Common Market. However, the applicant has made commitments to the Commission that eliminate the significant competitive concerns regarding the effects of the intended merger in the banking sector.</w:t>
      </w:r>
    </w:p>
    <w:p>
      <w:r>
        <w:t>65. The text of these commitments is attached to this decision as Annex 1 and is an integral part of the decision. The commitments alter the effects of the originally intended merger.</w:t>
      </w:r>
    </w:p>
    <w:p>
      <w:r>
        <w:t>66. In its commitments, Bank Austria undertakes to provide a declaration from the AVZ stating that the AVZ commits to fully sell its participation in the voting capital of GiroCredit after acquiring control of Bank Austria over Creditanstalt. This commitment declaration from the AVZ is already available to the Commission. Bank Austria has further committed to reduce the calculated total participation of Bank Austria and Creditanstalt in OeKB through sale to the level of participation that Bank Austria and GiroCredit currently hold together in OeKB. Furthermore, Bank Austria has committed not to increase the number of its supervisory board mandates in Investkredit beyond the number previously held together with GiroCredit and to be represented in the credit committee in the future by only one person.</w:t>
      </w:r>
    </w:p>
    <w:p>
      <w:r>
        <w:t>67. The commitment made by Bank Austria to the Commission is suitable to eliminate serious doubts about the compatibility of the merger project with the Common Market. In retail banking, the market share of the merging parties in the credit business decreases to below 20% due to the divestiture of the GiroCredit participation of the AVZ. In the securities deposit business, the joint market share of the merging parties falls to approximately [25 - 35%]. Moreover, it should be noted that due to portfolio reallocations, there will be a certain melting effect. This results from the fact that customers typically maintain multiple portfolios at different banks, and an indeterminate portion of the securities portfolios in Austria is held by corporate clients who have greater alternative options than private clients. Therefore, in both segments of retail banking, the intended merger is not expected to lead to problematic market shares. In corporate banking, the market share of the merging parties in the deposit business decreases to approximately [20 - 30%], in the segment of long-term loans to below [15 - 20%], and in the documentary business to 20 - 30%. Taking into account a certain melting effect, the intended merger will also not lead to problematic market shares in corporate banking. Furthermore, the divestiture of the GiroCredit participation of the AVZ and the resulting separation of the savings bank sector from the merging parties provide significant room for additional competitive impulses. Through the commitments of Bank Austria regarding its participation in OeKB and the composition of the supervisory board and credit committee of Investkredit, the merging parties will not gain any relevant competitive influence on these special banks according to the merger control regulation. The market position of these banks cannot therefore be attributed to the merging parties.</w:t>
      </w:r>
    </w:p>
    <w:p>
      <w:r>
        <w:t>B. Construction Services</w:t>
      </w:r>
    </w:p>
    <w:p>
      <w:r>
        <w:t>1) Relevant Product Markets</w:t>
      </w:r>
    </w:p>
    <w:p>
      <w:r>
        <w:t>68. In Austria, the entirety of construction services is differentiated by associations into commercial and industrial construction production. The entire construction sector is characterized by very different types of construction services as well as a very heterogeneous supplier and demander structure. The demand for construction services and the corresponding supply range from small construction services for single-family homes to high-rise buildings, industrial large-scale constructions, tunnel construction, road construction, power plant construction, and bridge construction. The different nature of the demanders and the requested construction services corresponds to the fact that there are construction companies that specialize in certain areas of construction services.</w:t>
      </w:r>
    </w:p>
    <w:p>
      <w:r>
        <w:t>69. The Commission's investigations have shown that it would not be appropriate to refer to only one uniform market for construction services to adequately capture the competitive conditions.</w:t>
      </w:r>
    </w:p>
    <w:p>
      <w:r>
        <w:t>70. From the perspective of the demanders, the individual construction services provided are generally not interchangeable, as they are usually tailored to the individual needs of the demanders. The relevant competitive moment for the provision of construction services is likely to lie in the competition for the awarding of contracts by the client. For the competition for contract awards, the ability and willingness of a provider to submit a competitive offer for a specific construction service is significant. In this respect, all those construction companies that are able and willing to provide the desired construction service in a manner deemed suitable by the individual demander are in competition with each other. An overly extensive segmentation of the construction sector into individual relevant product markets would therefore not do justice to the actual competitive conditions.</w:t>
      </w:r>
    </w:p>
    <w:p>
      <w:r>
        <w:t>71. The question of the appropriate subdivision of construction services into relevant product markets can be answered in two ways. Based on the needs of the demanders and the existing flexibility of providers to switch, certain types of construction services and certain contract sizes can be distinguished. This allows for both a factual and a quantitative delimitation criterion to define the relevant product markets.</w:t>
      </w:r>
    </w:p>
    <w:p>
      <w:r>
        <w:t>a) Distinction by the type of construction services provided</w:t>
      </w:r>
    </w:p>
    <w:p>
      <w:r>
        <w:t>72. According to the Commission's investigations, not all construction companies are capable of providing every type of construction service. Even larger construction companies are not always active in all areas. A strength of construction companies across the entire range of construction services and a particularly present flexibility to switch among large construction companies can gain additional significance in assessing the competitive position of these companies, as a greater diversification of the offering could protect to some extent against cyclical fluctuations. However, the very different nature of the offered construction services as well as the heterogeneity of the demanders and suppliers, at least for companies below the threshold of large enterprises, provide significant indications for further distinguishing the construction sector.</w:t>
      </w:r>
    </w:p>
    <w:p>
      <w:r>
        <w:t>73. Regarding the type of construction services, the Commission's investigations initially confirm that the services of the main construction industry and the ancillary construction industry should be distinguished. This was confirmed by the construction companies interviewed by the Commission. The services of the main construction industry...</w:t>
      </w:r>
    </w:p>
    <w:p>
      <w:r>
        <w:rPr>
          <w:b/>
        </w:rPr>
        <w:t>[Pages 25–27]</w:t>
      </w:r>
    </w:p>
    <w:p>
      <w:r>
        <w:t>bet primarily on the shell construction, while the construction ancillary trades concern the finishing of the building (for example, heating, air conditioning, ventilation).</w:t>
      </w:r>
    </w:p>
    <w:p>
      <w:r>
        <w:t>74. Furthermore, the Commission's investigations have provided significant indications for a distinction of the construction services rendered in building construction (residential and settlement construction, other building construction) and in civil engineering (road construction, bridge construction, tunnel construction, other civil engineering). Additionally, adaptations (building renovation, demolition, refurbishment) can be distinguished from these two areas. Approximately 52.6% of the construction services rendered in Austria in 1995, according to the statistical data of the Association of Industrial Construction Companies in Austria, were attributed to building construction, about 36.8% to civil engineering, and about 10.6% to adaptations.</w:t>
      </w:r>
    </w:p>
    <w:p>
      <w:r>
        <w:t>75. Significant differences between building construction and civil engineering exist, according to the Commission's investigations, primarily on the demand side. In the area of civil engineering in Austria, the demand side is predominantly composed of individual bodies and municipal enterprises of the public sector (for example, federal, state, municipalities, special corporations). In contrast, the demand side in building construction is more heterogeneous and ranges from private demanders of construction services to large private companies and the public sector.</w:t>
      </w:r>
    </w:p>
    <w:p>
      <w:r>
        <w:t>76. As significant selection criteria for the awarding of contracts, the Commission was informed by surveyed companies for building construction of their own machinery fleet, know-how, ability to manage logistics on the construction site, adherence to deadlines, and capacities. In civil engineering, the criteria of surety performance, experience, references, and engineering capacities were given particular importance. According to the Commission's investigations, know-how and machinery fleet can gain greater significance in civil engineering than in building construction.</w:t>
      </w:r>
    </w:p>
    <w:p>
      <w:r>
        <w:t>77. Whether a further distinction, for example, of civil engineering into road construction, tunnel construction, and bridge construction is appropriate can be left open in light of the general strength of the involved companies in the area of civil engineering and the lack of impact on the outcome of the competitive assessment of the merger project.</w:t>
      </w:r>
    </w:p>
    <w:p>
      <w:r>
        <w:t>b) Distinction by the size of the awarded contracts</w:t>
      </w:r>
    </w:p>
    <w:p>
      <w:r>
        <w:t>78. In distinguishing the relevant product markets, the size of the awarded construction contracts can also be considered, as with increasing contract size, the circle of construction companies that are sufficiently capable and willing to submit a bid and execute the construction services from the perspective of the demanders becomes increasingly smaller. While relatively small construction companies may also be able to carry out relatively large contracts in specialized areas for their overall company size, the larger the awarded contracts become, the lower the likelihood for smaller specialists to receive a contract.</w:t>
      </w:r>
    </w:p>
    <w:p>
      <w:r>
        <w:t>79. As far as contract sizes are concerned, the Commission's investigations have provided significant indications that from certain contract sizes, the circle of potential executing construction companies significantly decreases. A survey of competitors and demanders has confirmed that there are significant indications that a distinction by contract sizes is also appropriate. It was pointed out that with the contract size, certain requirements regarding the size of the contractor's business are associated. Furthermore, it was noted that the execution of larger construction contracts involves financial risks that can only be assumed by financially strong companies or companies that have sufficient financing available. In this respect, financing and access to financing gain particular importance for larger construction contracts. It was also stated that for contracts above a certain size, only a specific number of construction companies would be eligible. This is on the one hand due to the necessary capacity to execute such contracts and on the other hand, the client often imposes certain pre-qualification requirements on the bidding construction companies starting from a certain project size, which excludes the participation of smaller or medium-sized construction companies.</w:t>
      </w:r>
    </w:p>
    <w:p>
      <w:r>
        <w:t>80. The survey of competitors and demanders in Austria has further provided significant indications that the threshold for such a large contract in Austria is at least not below 50 million ATS, but possibly also significantly above that. The crucial factor is at what size of the awarded construction contracts there are significant indications for a significant narrowing of the supplier structure. This is a gradual transition. To approach this question, the Commission believes that it is appropriate to consider various levels of contract sizes starting from 50 million ATS upwards. In this regard, the Commission has also considered a distinction by contract sizes starting from 100 million ATS and 200 million ATS, although for the purposes of this case, a final decision on this question is not necessary, as it does not lead to any different competitive assessment.</w:t>
      </w:r>
    </w:p>
    <w:p>
      <w:r>
        <w:t>c) Overall consideration</w:t>
      </w:r>
    </w:p>
    <w:p>
      <w:r>
        <w:t>81. There are significant indications that the criteria of the type of construction services and the contract size can also be used cumulatively for an appropriate assessment of the competitive conditions, as at the mentioned contract sizes, the supplier structure is already narrowing, but the contract sizes have not yet reached a magnitude that they could only be provided by large companies, which usually also have a comprehensive range of services. Such large contracts have, according to the Commission's investigations, had very little significance in Austria in the last three years.</w:t>
      </w:r>
    </w:p>
    <w:p>
      <w:r>
        <w:t>82. The Commission's investigations can be summarized in that there are significant indications that the area of construction services can be distinguished in three ways. First, one can refer to the construction services rendered in building construction, civil engineering, and adaptations. Furthermore, large contracts, which can be considered in relation to the Austrian market conditions from a size of 50 million ATS, 100 million ATS, or 200 million ATS, can be distinguished cumulatively from the first criterion of smaller construction contracts. There are also significant indications that an exclusive application of the size criterion for a part of the construction sector without distinction by types of construction services rendered should be considered for a contract size that is significantly above 200 million ATS. In this case, the remaining market below this threshold would then have to be delineated according to the first two criteria. For the purposes of this decision, however, pursuing the latter aspect is not necessary, as on the one hand, such types of contracts have recently had very little significance in Austria and on the other hand, the identified competitive problems will be resolved by the commitment made by the applicant in a manner that would also eliminate competitive concerns in this area.</w:t>
      </w:r>
    </w:p>
    <w:p>
      <w:r>
        <w:t>83. A final decision on the product market delineation is not necessary for the purposes of this decision, as the alternatives lead to the same result in the competitive assessment.</w:t>
      </w:r>
    </w:p>
    <w:p>
      <w:r>
        <w:t>2. Geographically relevant markets</w:t>
      </w:r>
    </w:p>
    <w:p>
      <w:r>
        <w:t>84. The Commission's investigations have provided significant indications that the construction markets in Austria are still to be regarded as markets that are spatially no larger than Austria. The possibility of cross-border trade is limited in the construction sector by the fact that the offered product primarily consists of the provision of work and services on-site, so that the availability of the required capacities at the construction site is necessary.</w:t>
      </w:r>
    </w:p>
    <w:p>
      <w:r>
        <w:t>85. The presence of foreign providers occurs, according to the Commission's investigations, predominantly through subsidiaries based in Austria. These are regarded by the surveyed demanders as national providers. The survey of demanders and the collection of contract data by the Commission have also not revealed any insights into already existing or evidently emerging significant competition from companies based abroad in Austria.</w:t>
      </w:r>
    </w:p>
    <w:p>
      <w:r>
        <w:t>86. In the context of its investigations, the Commission has been informed, among other things, that geographical proximity to the demander is essential for successful market activity in the construction sector, and that language barriers and different legal systems can hinder cross-border activity. The Commission's investigations have also indicated that transport costs and lack of experience with local conditions can be market entry barriers.</w:t>
      </w:r>
    </w:p>
    <w:p>
      <w:r>
        <w:t>3. Effects of the merger</w:t>
      </w:r>
    </w:p>
    <w:p>
      <w:r>
        <w:t>87. The merger project leads to a change in the competitive situation in the construction sector in Austria. Bank Austria is already involved in several Austrian construction companies or is otherwise intertwined with them. The intended merger strengthens Bank Austria's existing market position in construction services, as Creditanstalt holds a majority stake in the Austrian construction company Universale.</w:t>
      </w:r>
    </w:p>
    <w:p>
      <w:r>
        <w:t>a) Involvements of the participating companies in the construction sector</w:t>
      </w:r>
    </w:p>
    <w:p>
      <w:r>
        <w:rPr>
          <w:b/>
        </w:rPr>
        <w:t>[Pages 28–30]</w:t>
      </w:r>
    </w:p>
    <w:p>
      <w:r>
        <w:t>88. According to the Commission's investigations, the participating companies can exert significant competitive influence in several Austrian construction companies. Bank Austria controls WIBEBA and exercises joint control over STUAG. The annual report of Bank Austria indicates that it also indirectly holds more than 50% of the shares in a small Austrian construction company, Felsinger. Furthermore, Creditanstalt controls Universale (79.6% of the shares).</w:t>
      </w:r>
    </w:p>
    <w:p>
      <w:r>
        <w:t>89. According to the Commission's investigations, Bank Austria also has the legal and factual ability to exert significant competitive influence over Porr AG. This is primarily based on the capital participation and the extent of voting rights (37.3%) in Porr AG, which provided Bank Austria with the effective majority at the last two annual general meetings of Porr AG. Additionally, Bank Austria and five other shareholders of Porr AG have pooled their shares into a "Porr Syndicate," through which they intend to exert joint influence over Porr AG. Due to common shareholdings and minor participations in each other, it is unlikely that certain co-shareholders of Porr AG, such as Wiener Städtische Wechselseitige, would vote against Bank Austria on matters of significant competitive importance to Bank Austria. Wiener Städtische Wechselseitige is not only a member of the "Porr Syndicate" with a business share of 3.76%, but is also active in the insurance business through Wiener Städtische Allgemeine, where it jointly controls Union Versicherung with Bank Austria and Hamburger Versicherung under another syndicate agreement. According to the Commission's investigations, there is also a cooperation agreement between Bank Austria and Wiener Städtische, which stipulates that Bank Austria sells Wiener Städtische's insurance products and Wiener Städtische sells Bank Austria's banking products. Furthermore, according to the Commission's investigations, Wiener Städtische holds 7.59% of the share capital and 17.5% of the preferred capital of Bank Austria, as well as 8.3% in Wiener Holding, which belongs to the AVZ group. Additionally, Bank Austria holds a stake of 9.87% in Wiener Städtische. There are also personnel interconnections between Bank Austria and Wiener Städtische. All these circumstances provide at least significant indications that Wiener Städtische will vote with Bank Austria on issues that are of essential competitive importance to Bank Austria in Porr AG. According to the Commission's investigations regarding the attendance at the annual general meetings of Porr AG in the last three years, the voting rights of Bank Austria and Wiener Städtische together lead to a secured effective voting majority at the annual general meetings of Porr AG. The Bundesländer Versicherung, which holds a 50% stake in Era, is involved with 18.13% of the shares in Porr AG. Bundesländer Versicherung is also a member of the "Porr Syndicate."</w:t>
      </w:r>
    </w:p>
    <w:p>
      <w:r>
        <w:t>90. Furthermore, the City of Vienna has influence rights in the AVZ that meet the criteria of Article 5 paragraph 4 of the Merger Control Regulation. The municipal council of the City of Vienna has the right to elect the members of the supervisory body of the AVZ. The City of Vienna holds 81.6% of the shares in Teerag Asdag through Wiener Stadtwerke, in which Porr AG also holds a share of 8.2%.</w:t>
      </w:r>
    </w:p>
    <w:p>
      <w:r>
        <w:t>91. In the context of the competitive assessment of the effects of the merger according to Article 2 of the Merger Control Regulation, it should also be considered that Bank Austria and STRABAG each exercise joint control over STUAG, which can lead to group effects. Bank Austria and STRABAG have therefore concluded a syndicate agreement.</w:t>
      </w:r>
    </w:p>
    <w:p>
      <w:r>
        <w:t>b) Market Position of the Participating Companies</w:t>
      </w:r>
    </w:p>
    <w:p>
      <w:r>
        <w:t>92. According to the Commission's investigations and the information provided by the applicant, the shares of the total area of construction services provided in Austria by the main construction industry are estimated as follows: Porr with about 8.5%, STUAG with about 5%, Teerag Asdag with about 5%, Universale with about 4.5%, and WIBEBA with about 1.5%. Together, these companies associated with the participating companies account for about 24.5% market share. The share of STRABAG is likely to be below 5%. The share of construction companies associated with the participating companies is thus approximately more than four times that of the next competitor. The generally next significant competitors are likely to be Bauholding (with about 6% share according to the applicant) and the companies Alpine and Mayreder, which are connected according to the applicant, including associated companies. The also connected companies Era-Bau Holding and Eberhard are likely to be below 5% share. According to the Commission's investigations, only two other competitors have significantly over 1% share, each around 2%. These very clear share advantages underscore the overall significance of the construction companies covered by the merger in the Austrian market.</w:t>
      </w:r>
    </w:p>
    <w:p>
      <w:r>
        <w:t>93. Considering building construction, civil engineering, and adaptations, without focusing on specific contract sizes, the Commission's investigations have provided significant indications of a dominant market position of the participating companies in civil engineering. In total building construction, their joint market share is likely to be around 16%. The share of STRABAG is likely to be significantly below 5%. In adaptations, the participating companies achieve a market share of under 10% according to the information available to the Commission.</w:t>
      </w:r>
    </w:p>
    <w:p>
      <w:r>
        <w:t>(1) Civil Engineering</w:t>
      </w:r>
    </w:p>
    <w:p>
      <w:r>
        <w:t>94. In civil engineering overall, the joint share of WIBEBA (about 1 - 2%), Universale (about 4 - 5%), Porr (over 10%), Teerag Asdag (around 10%), and STUAG (around 10%) is estimated to be close to 37%, and together with STRABAG (over 5%) at least 42%. The market share of providers associated with the participating companies is thus five times higher than that of the next largest competitor, without considering STRABAG. Only two competitors achieve market shares of over 5%. Only one other competitor achieves market shares over 4%, while the remaining providers are below 2% market share. The formerly large construction company Maculan has reportedly ceased operations. These market data demonstrate that the applicant would occupy a dominant position in the market after the merger.</w:t>
      </w:r>
    </w:p>
    <w:p>
      <w:r>
        <w:t>95. In road construction, the market position of the participating companies is likely to be even stronger than in civil engineering overall. According to the Commission's investigations, the share of Porr, Universale, WIBEBA, Teerag Asdag, and STUAG is likely to be over 40%, and together with STRABAG even over 50%. Furthermore, the general strength of the participating companies in civil engineering can be taken as an indication of their strength in the individual segments of civil engineering.</w:t>
      </w:r>
    </w:p>
    <w:p>
      <w:r>
        <w:t>(2) Large Contract Awards</w:t>
      </w:r>
    </w:p>
    <w:p>
      <w:r>
        <w:t>96. Additionally, considering the awarded contract sizes, the Commission's investigations have provided indications that the market position of the participating companies is likely to become more significant when focusing on contract awards starting from a magnitude of 50 million ATS, 100 million ATS, and 200 million ATS. There are significant indications that the market position of the mentioned companies, when considering the contracts awarded for construction projects in Austria since January 1, 1994, exceeding 50 million ATS, 100 million ATS, and 200 million ATS, is higher than their general market share. This is likely due to the fact that the share of smaller companies in these contracts is naturally very low, and the share of medium-sized companies, apart from the successes of individual specialists, is generally likely to be lower than that of large companies. From the information available to the Commission, it can be inferred that, based on contract values, the share of construction companies associated with the participating companies is at least 10% higher for contracts over 50 million ATS, at least 15% higher for contracts over 100 million ATS, and at least 20% higher for contracts over 200 million ATS than their shares related to the overall market. It cannot be ruled out that a thorough examination may yield even higher market shares.</w:t>
      </w:r>
    </w:p>
    <w:p>
      <w:r>
        <w:t>(3) Further Aspects</w:t>
      </w:r>
    </w:p>
    <w:p>
      <w:r>
        <w:t>97. The particular market strength of the construction providers associated with the participating companies is underscored by further aspects.</w:t>
      </w:r>
    </w:p>
    <w:p>
      <w:r>
        <w:t>98. The participating companies are not merely partially strong companies in certain construction areas. Rather, as described, the mentioned companies belong to the largest construction companies in Austria. Porr is currently the largest Austrian construction company. In this context, it should be noted that the strong market position of these companies can also create deterrent effects for market entries.</w:t>
      </w:r>
    </w:p>
    <w:p>
      <w:r>
        <w:t>99. The Commission's investigations have also provided significant indications that, particularly for larger construction contracts, the provision of surety services and the financial strength of construction companies can play a special role. In this context, it is partially pointed out that bank-owned construction companies enjoy particular advantages in these important competitive parameters. There are significant indications that this circumstance is a specific advantage of the participating companies that other construction companies do not possess or do not possess to the same extent, which can also deter market entries.</w:t>
      </w:r>
    </w:p>
    <w:p>
      <w:r>
        <w:rPr>
          <w:b/>
        </w:rPr>
        <w:t>[Pages 31–33]</w:t>
      </w:r>
    </w:p>
    <w:p>
      <w:r>
        <w:t>100. Furthermore, there have been indications that the construction companies associated with Bank Austria may enjoy structural advantages from the fact that Bank Austria and the companies connected to it have significant demand potential for construction services. There are indications that this structural connection between large construction companies on one side and large demanders of construction services on the other side could result in specific competitive advantages through a certain order security, especially in times of declining construction activity, compared to other construction companies. Furthermore, this aspect is also capable of establishing economic barriers to market entry.</w:t>
      </w:r>
    </w:p>
    <w:p>
      <w:r>
        <w:t>101. The last two aspects gain weight in light of the current market situation in the Austrian construction sector, as sufficient risk coverage has particular significance for construction companies to avoid exiting the market.</w:t>
      </w:r>
    </w:p>
    <w:p>
      <w:r>
        <w:t>c) Interim Result</w:t>
      </w:r>
    </w:p>
    <w:p>
      <w:r>
        <w:t>102. The Commission's investigations have revealed significant indications that the area of civil engineering services provided in Austria can be regarded as a distinct relevant market.</w:t>
      </w:r>
    </w:p>
    <w:p>
      <w:r>
        <w:t>103. In civil engineering, the providers attributable to the participating companies achieve significant market shares. They hold an overall market position that surpasses other competitors. Furthermore, they have financial resources available through their parent companies, especially for large construction projects, which other competitors do not have or do not have to the same extent. These resources are particularly important when bidding for large contracts, as the Commission's investigations indicate that the ability to take on financial risks and provide the necessary surety services plays a special role here. The acquisition of large contracts is, in turn, of particular importance for the leading construction companies that primarily compete for such contracts. The market position is structurally secured by the demand potential that is consolidated within the corporate group of Bank Austria. The structural connections of the corporate group of Bank Austria to the City of Vienna, which is likely to be the key demander in civil engineering in the Vienna region, should also be taken into account. In this context, however, the restrictions on awarding contracts due to the application of tender regulations for public contracts must also be considered. The Vienna region is the essential region of Austria for the economic success of construction companies.</w:t>
      </w:r>
    </w:p>
    <w:p>
      <w:r>
        <w:t>4. The Changes to the Original Merger</w:t>
      </w:r>
    </w:p>
    <w:p>
      <w:r>
        <w:t>104. Based on the investigation results available, the Commission has concluded that the intended merger raises significant concerns regarding its compatibility with the Common Market, as it is currently assumed that it will lead to the creation or strengthening of dominant market positions in Austrian construction markets, which would significantly impede effective competition in a substantial part of the Common Market. However, the applicant has made commitments to the Commission that eliminate the significant competitive concerns regarding the effects of the intended merger in the construction sector.</w:t>
      </w:r>
    </w:p>
    <w:p>
      <w:r>
        <w:t>105. The text of these commitments is attached to this decision as Annex 1 and is an integral part of the decision. The commitments alter the effects of the originally intended merger.</w:t>
      </w:r>
    </w:p>
    <w:p>
      <w:r>
        <w:t>106. The commitment made by the applicant to either sell Universale or its shares in STUAG takes into account the fact that the existing market position of the providers intertwined with Bank Austria is strengthened by the acquisition of Universale, and that a sale of Universale would eliminate the acquisition and thus the basis for strengthening the existing market position of the applicant. The sale of STUAG can be regarded, according to the Commission's investigations, as competitively equivalent to the sale of Universale. STUAG itself generates a higher total revenue in Austria than Universale. It is also more strongly represented in the market, particularly in civil engineering, than Universale, and its sale is thus likely to lead to an improvement in the competitive situation in civil engineering to an even greater extent. Although the applicant would only sell joint control of this company in the event of a sale of STUAG, while acquiring sole control of Universale, this circumstance is offset not only by the greater significance of STUAG in civil engineering but also by the fact that the sale of STUAG would sever the applicant's connection to STRABAG, which also holds a significant position in the Austrian construction markets, particularly in civil engineering. The resulting structural competitive impulses can be regarded as equivalent to those resulting from a sale of Universale.</w:t>
      </w:r>
    </w:p>
    <w:p>
      <w:r>
        <w:t>107. The alternative commitment made by the applicant improves the possibilities for a sale. Given that commitments in the first phase of the procedure under the Merger Control Regulation must be particularly suitable for providing a clear solution to the identified competition problems, this alternative commitment is considered appropriate.</w:t>
      </w:r>
    </w:p>
    <w:p>
      <w:r>
        <w:t>VI. Conclusion</w:t>
      </w:r>
    </w:p>
    <w:p>
      <w:r>
        <w:t>108. Based on the above findings, particularly in light of the commitments made by Bank Austria, the Commission has concluded that the merger project does not lead to the creation or strengthening of a dominant position in the affected markets and therefore does not raise serious concerns regarding its compatibility with the Common Market or the EEA Agreement.</w:t>
      </w:r>
    </w:p>
    <w:p>
      <w:r>
        <w:t>109. For this reason, the Commission has decided not to oppose the notified merger and to declare it compatible with the Common Market and the EEA Agreement. This decision is based on Article 6(1)(b) of the Merger Control Regulation and Article 57(2)(a) of the EEA Agreement.</w:t>
      </w:r>
    </w:p>
    <w:p>
      <w:r>
        <w:t>For the Commission</w:t>
      </w:r>
    </w:p>
    <w:p>
      <w:r>
        <w:t>Annex 1)</w:t>
      </w:r>
    </w:p>
    <w:p>
      <w:r>
        <w:t>Bank Austria The Board</w:t>
      </w:r>
    </w:p>
    <w:p>
      <w:r>
        <w:t>Commission of the European Communities</w:t>
      </w:r>
    </w:p>
    <w:p>
      <w:r>
        <w:t>Directorate-General IV - Competition</w:t>
      </w:r>
    </w:p>
    <w:p>
      <w:r>
        <w:t>Merger Task Force</w:t>
      </w:r>
    </w:p>
    <w:p>
      <w:r>
        <w:t>Attn: Dr. Götz Drauz</w:t>
      </w:r>
    </w:p>
    <w:p>
      <w:r>
        <w:t>Rue de la Loi 200</w:t>
      </w:r>
    </w:p>
    <w:p>
      <w:r>
        <w:t>B-1049 Brussels</w:t>
      </w:r>
    </w:p>
    <w:p>
      <w:r>
        <w:t>Vienna, March 4, 1997</w:t>
      </w:r>
    </w:p>
    <w:p>
      <w:r>
        <w:t>Case No. IV/M. 873 Bank Austria/Creditanstalt</w:t>
      </w:r>
    </w:p>
    <w:p>
      <w:r>
        <w:t>Dear Mr. Drauz,</w:t>
      </w:r>
    </w:p>
    <w:p>
      <w:r>
        <w:t>We refer to the above case and, at the request of the Commission, declare our willingness to modify the effect of the project notified to the Commission on February 10, 1997, with the following commitments:</w:t>
      </w:r>
    </w:p>
    <w:p>
      <w:r>
        <w:t>1. GiroCredit</w:t>
      </w:r>
    </w:p>
    <w:p>
      <w:r>
        <w:t>Bank Austria (“BA”) commits to provide a declaration from the share management central savings bank (“AV-Z”) stating that AV-Z commits...</w:t>
      </w:r>
    </w:p>
    <w:p>
      <w:r>
        <w:rPr>
          <w:b/>
        </w:rPr>
        <w:t>[Pages 34–35]</w:t>
      </w:r>
    </w:p>
    <w:p>
      <w:r>
        <w:t>the participation of the AV-Z in the voting share capital of GiroCredit Bank Aktiengesellschaft der Sparkassen (“GiroCredit”) amounting to a nominal value of ATS 2,060,356,000 (the “GiroCredit Shares”) [...] to sell.</w:t>
      </w:r>
    </w:p>
    <w:p>
      <w:r>
        <w:t xml:space="preserve">2. OeKB  </w:t>
        <w:br/>
        <w:t>BA commits to reduce the - calculated - total participation of BA and CA in Österreichische Kontrollbank Aktiengesellschaft (“OeKB Participation”) [...] to the level of participation that BA and GiroCredit currently hold together in OeKB.</w:t>
      </w:r>
    </w:p>
    <w:p>
      <w:r>
        <w:t xml:space="preserve">3. Investkredit  </w:t>
        <w:br/>
        <w:t>BA commits to [...] send a letter that corresponds to the draft attached as Annex 1 to the syndicate members (in the sense of Annex 1).</w:t>
      </w:r>
    </w:p>
    <w:p>
      <w:r>
        <w:t xml:space="preserve">4. STUAG/Universale  </w:t>
        <w:br/>
        <w:t>BA commits to either sell its participation of 50% minus one share in STUAG Bau AG [...] or alternatively ensure that CA sells its participation of 79.6% in Universale Bau AG [...].</w:t>
      </w:r>
    </w:p>
    <w:p>
      <w:r>
        <w:t xml:space="preserve">5. Trustee Arrangement  </w:t>
        <w:br/>
        <w:t xml:space="preserve">BA commits to ensure that AV-Z enters into the following obligations towards the Commission: [...]  </w:t>
        <w:br/>
        <w:t xml:space="preserve">AV-Z commits that if the GiroCredit Shares are not [...] sold by AV-Z in accordance with Clause 1 of this letter, [...] to appoint a [...] trustee (for example, an investment bank) in accordance with a trust agreement, [...], and to transfer all GiroCredit Shares to the trustee with the mandate for the best possible sale. [...]  </w:t>
        <w:br/>
        <w:t>After the sale of the GiroCredit Shares is completed, the trustee will cease its activities. The remuneration of the trustee will be borne by AV-Z.</w:t>
      </w:r>
    </w:p>
    <w:p>
      <w:r>
        <w:t xml:space="preserve">6. Other Trustee Appointments  </w:t>
        <w:br/>
        <w:t>Clause 5 of this letter applies accordingly to the disposals to be made in accordance with Clauses 2 and 4. [...]</w:t>
      </w:r>
    </w:p>
    <w:p>
      <w:r>
        <w:t xml:space="preserve">Best regards,  </w:t>
        <w:br/>
        <w:t>[Signed Bank Austria AG]</w:t>
      </w:r>
    </w:p>
    <w:p>
      <w:r>
        <w:t xml:space="preserve">Annex 1  </w:t>
        <w:br/>
        <w:t xml:space="preserve">Bank Austria  </w:t>
        <w:br/>
        <w:t xml:space="preserve">The Management Board  </w:t>
        <w:br/>
        <w:t xml:space="preserve">To the members  </w:t>
        <w:br/>
        <w:t xml:space="preserve">of the syndicate agreement  </w:t>
        <w:br/>
        <w:t xml:space="preserve">regarding Österreichische Investitionskredit Aktiengesellschaft (“Investkredit”)  </w:t>
        <w:br/>
        <w:t xml:space="preserve">dated April 29, 1992 (“Syndicate Agreement”)  </w:t>
        <w:br/>
        <w:t>Vienna, 1997</w:t>
      </w:r>
    </w:p>
    <w:p>
      <w:r>
        <w:t xml:space="preserve">Dear Ladies and Gentlemen,  </w:t>
        <w:br/>
        <w:t>As long as Bank Austria Aktiengesellschaft (“Bank Austria”) can exercise control over Creditanstalt-Bankverein (“CA”), Bank Austria irrevocably commits to the other syndicate members (in the sense of § 1 of the Syndicate Agreement) as follows:</w:t>
      </w:r>
    </w:p>
    <w:p>
      <w:r>
        <w:t xml:space="preserve">Regarding § 5  </w:t>
        <w:br/>
        <w:t>For the purposes of calculating the participation of Bank Austria and CA in Investkredit according to § 5 Abs. 1 of the Syndicate Agreement, Bank Austria and CA will be considered as a single entity, with their participations calculated together but not exceeding the sum of the participations currently held directly or indirectly by Bank Austria and GiroCredit.</w:t>
      </w:r>
    </w:p>
    <w:p>
      <w:r>
        <w:t xml:space="preserve">Regarding § 7  </w:t>
        <w:br/>
        <w:t>For the purposes of determining the “two largest shareholders” in the sense of § 7 Abs. 1 of the Syndicate Agreement, Bank Austria and CA will be treated as one shareholder.</w:t>
      </w:r>
    </w:p>
    <w:p>
      <w:r>
        <w:t>Otherwise, the Syndicate Agreement remains unaffected.</w:t>
      </w:r>
    </w:p>
    <w:p>
      <w:r>
        <w:t xml:space="preserve">Best regards,  </w:t>
        <w:br/>
        <w:t>Bank Austria Aktiengesellschaft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