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https://www.autoritedelaconcurrence.fr/fr/decision-de-controle-des-concentrations/realtive-la-prise-de-controle-exclusive-deppdc-par-nge</w:t>
      </w:r>
    </w:p>
    <w:p>
      <w:r>
        <w:t>Pages translated : 7</w:t>
      </w:r>
    </w:p>
    <w:p/>
    <w:p>
      <w:r>
        <w:rPr>
          <w:b/>
        </w:rPr>
        <w:t>[Pages 1–3]</w:t>
      </w:r>
    </w:p>
    <w:p>
      <w:r>
        <w:t xml:space="preserve">FRENCH REPUBLIC  </w:t>
        <w:br/>
        <w:t xml:space="preserve">Decision No. 11-DCC-135 of September 5, 2011  </w:t>
        <w:br/>
        <w:t xml:space="preserve">regarding the exclusive control of PPDC by NGE SAS  </w:t>
        <w:br/>
        <w:t xml:space="preserve">The Competition Authority,  </w:t>
        <w:br/>
        <w:t xml:space="preserve">Having regard to the notification file submitted in full to the merger service on July 29, 2011,  </w:t>
        <w:br/>
        <w:t xml:space="preserve">regarding the exclusive control of the company PPDC (hereinafter "PPDC") by the company  </w:t>
        <w:br/>
        <w:t xml:space="preserve">NGE SAS (hereinafter "NGE"), formalized by a share transfer agreement dated  </w:t>
        <w:br/>
        <w:t xml:space="preserve">July 7, 2011;  </w:t>
        <w:br/>
        <w:t xml:space="preserve">Having regard to Book IV of the Commercial Code relating to the freedom of prices and competition, and  </w:t>
        <w:br/>
        <w:t xml:space="preserve">notably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NGE is a simplified joint-stock company exclusively controlled by the holding company  </w:t>
        <w:br/>
        <w:t xml:space="preserve">Financière Saint Anne1 which holds […] % of its capital. The remainder of its capital is held by  </w:t>
        <w:br/>
        <w:t xml:space="preserve">several minority shareholders, none of whom have veto rights that would grant them  </w:t>
        <w:br/>
        <w:t xml:space="preserve">decisive influence over the strategic decisions of the company. NGE specializes in public works and  </w:t>
        <w:br/>
        <w:t xml:space="preserve">conducts its activities through several subsidiaries (hereinafter "the NGE group"). The NGE group is  </w:t>
        <w:br/>
        <w:t xml:space="preserve">organized around five main areas of activity: (i) earthworks and roads and various networks, (ii)  </w:t>
        <w:br/>
        <w:t xml:space="preserve">pipelines and networks, (iii) geotechnical and safety works, (iv) civil engineering, and (v) road and  </w:t>
        <w:br/>
        <w:t xml:space="preserve">road equipment.  </w:t>
        <w:br/>
        <w:t xml:space="preserve">1 The holding company Financière Saint Anne is currently jointly controlled by [Confidential], under a pact whereby the  </w:t>
        <w:br/>
        <w:t xml:space="preserve">shareholders have committed to act in concert to exercise joint control over the company. Neither of these two shareholders  </w:t>
        <w:br/>
        <w:t xml:space="preserve">holds directly or indirectly a controlling interest in companies operating in sectors similar to those concerned by this operation.  </w:t>
        <w:br/>
        <w:t>[Confidential].</w:t>
      </w:r>
    </w:p>
    <w:p>
      <w:r>
        <w:t xml:space="preserve">2. PPDC is a simplified joint-stock company exclusively controlled by Mrs.  </w:t>
        <w:br/>
        <w:t xml:space="preserve">Emmanuelle Perron, who holds, with her family, 100% of its capital. PPDC is the holding company of  </w:t>
        <w:br/>
        <w:t xml:space="preserve">the TSO group, which specializes in the construction, renewal, installation, and maintenance of  </w:t>
        <w:br/>
        <w:t xml:space="preserve">railway tracks (national network and urban transport). The TSO group also operates in the fields of  </w:t>
        <w:br/>
        <w:t xml:space="preserve">electrification and catenary restructuring and, more incidentally, in the fields of topography,  </w:t>
        <w:br/>
        <w:t xml:space="preserve">maintenance and reconstruction of locomotives and shunting locomotives, and civil engineering.  </w:t>
        <w:br/>
        <w:t xml:space="preserve">Finally, the TSO group has been a railway operator on the French rail network since 2009, which  </w:t>
        <w:br/>
        <w:t xml:space="preserve">allows it to operate with its own locomotives and its own drivers.  </w:t>
        <w:br/>
        <w:t xml:space="preserve">3. The notified operation consists, on the one hand, of the acquisition by NGE and Financière Saint Anne  </w:t>
        <w:br/>
        <w:t xml:space="preserve">of 100% of the capital of PPDC, and thus indirectly of 98.4% of the capital of TSO, and on the  </w:t>
        <w:br/>
        <w:t xml:space="preserve">other hand, of the acquisition by NGE of the remaining 1.6% of the capital of TSO currently held by  </w:t>
        <w:br/>
        <w:t xml:space="preserve">minority shareholders. As it results in the exclusive control by NGE of PPDC and its subsidiaries,  </w:t>
        <w:br/>
        <w:t xml:space="preserve">the notified operation constitutes a concentration within the meaning of Article L.430-1 of the  </w:t>
        <w:br/>
        <w:t xml:space="preserve">Commercial Code.  </w:t>
        <w:br/>
        <w:t xml:space="preserve">4. The companies concerned together achieve a total worldwide turnover of more than 150 million euros  </w:t>
        <w:br/>
        <w:t xml:space="preserve">(the NGE group: 902.7 million euros for the fiscal year ending December 31, 2010; PPDC: 196.4 million euros for the fiscal year ending August 31, 2010).  </w:t>
        <w:br/>
        <w:t xml:space="preserve">At least two of these companies achieve a turnover in France exceeding 50 million euros (the NGE group: 902.7 million euros for the fiscal year ending December 31, 2010; PPDC: 147.1 million euros for the fiscal year ending August 31, 2010). Given these turnover figures, the operation does not have a community dimension. On the other hand,  </w:t>
        <w:br/>
        <w:t xml:space="preserve">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relevant markets  </w:t>
        <w:br/>
        <w:t xml:space="preserve">5. The parties to the operation are simultaneously active in the railway works sector.  </w:t>
        <w:br/>
        <w:t xml:space="preserve">6. Previous national decision-making practice has noted that the railway works sector is characterized by a  </w:t>
        <w:br/>
        <w:t xml:space="preserve">significant number of production activities and service provisions constituting a value chain2. It has thus made a distinction between several categories of service provisions, each constituting a distinct service market: (i) the laying, renewal, and maintenance of railway tracks, (ii) power supply technologies, (iii) the installation of railway signaling equipment, (iv) the maintenance of railway tunnels, (v) civil engineering, and (vi) earthworks, and has considered within each of these categories potential sub-segmentations3.  </w:t>
        <w:br/>
        <w:t xml:space="preserve">2 See notably C2007-22 / Letter from the Minister of Economy, Finance and Industry dated May 14, 2007, to the advisors of the company  </w:t>
        <w:br/>
        <w:t xml:space="preserve">COLAS, regarding a concentration in the sector of laying and maintenance of railway tracks and C2007-20 / Letter from the Minister of  </w:t>
        <w:br/>
        <w:t xml:space="preserve">Economy, Finance and Industry dated July 6, 2007, to the advisors of the company Vossloh Infrastructure Services, regarding a  </w:t>
        <w:br/>
        <w:t xml:space="preserve">concentration in the sector of laying and maintenance of railway tracks.  </w:t>
        <w:br/>
        <w:t xml:space="preserve">3 See notably Opinion No. 01-A-08 of the Competition Council of June 5, 2001, regarding the acquisition of the GTM group by the company Vinci,  </w:t>
        <w:br/>
        <w:t>the aforementioned decisions of the Minister C2007-22 and C2007-20, and the decision of the Competition Authority No. 09-DCC-43 of September 14, 2009, regarding the acquisition of the companies Entreprise Malet and Entreprise Carceller by the company Spie Batignolles SA.</w:t>
      </w:r>
    </w:p>
    <w:p>
      <w:r>
        <w:t xml:space="preserve">7. In this case, the markets concerned by the operation are those where the activities of the parties overlap, namely the civil engineering market, as well as those presenting connections with the markets in which each party operates, that is to say, the markets for the laying, renewal, and maintenance of railway tracks, services related to power supply technologies, and earthworks.  </w:t>
        <w:br/>
        <w:t xml:space="preserve">1. SERVICES FOR THE LAYING, RENEWAL, AND MAINTENANCE OF RAILWAY TRACKS  </w:t>
        <w:br/>
        <w:t xml:space="preserve">8. Previous decision-making practice has distinguished between the activities of laying, renewal, and maintenance of railway tracks depending on whether they concern railway tracks, metro, tramway, or terminal branch installations, taking into account the differences relating to the characteristics of the tracks on which the works are carried out, the material and human resources necessary for the execution of the works, and the content of the required services4. The question of a potential sub-segmentation within the market for the laying, renewal, and maintenance of railway tracks has been considered depending on whether these works are carried out (i) traditionally with minimally mechanized sites ("off suite") or (ii) through highly mechanized sites that implement substitute trains allowing for rapid output ("fast suite") but has been left open. There is no need to resolve this question in this case, as whatever delimitation is retained, the conclusions of the analysis remain unchanged.  </w:t>
        <w:br/>
        <w:t xml:space="preserve">9. Regarding the geographical delimitation of the markets, previous decision-making practice has considered that the markets for the laying, renewal, and maintenance of railway tracks, metro, and terminal branch installations were of national dimension and that the market for the laying, renewal, and maintenance of tramway tracks had a European dimension5. In this case, the analysis will therefore be conducted at the national level.  </w:t>
        <w:br/>
        <w:t xml:space="preserve">2. SERVICES RELATED TO POWER SUPPLY TECHNOLOGIES  </w:t>
        <w:br/>
        <w:t xml:space="preserve">10. Services related to power supply technologies encompass all activities related to studies, electrification, installation, and restructuring of catenary lines.  </w:t>
        <w:br/>
        <w:t xml:space="preserve">11. Previous decision-making practice has defined catenary lines "as systems of electrical lines intended to supply trains with electrical energy through pantographs"6. The question of a potential sub-segmentation of this market based notably on the type of tracks considered (railway tracks and tramway tracks) has been left open. In this case, the question of the precise segmentation of the market for services related to power supply technologies can also be left open, as the conclusions of the competitive analysis remain unchanged regardless of the market delimitations retained.  </w:t>
        <w:br/>
        <w:t xml:space="preserve">4 See notably the aforementioned decisions of the Minister C2007-22 and C2007-20.  </w:t>
        <w:br/>
        <w:t xml:space="preserve">5 Ibid.  </w:t>
        <w:br/>
        <w:t>6 See notably the aforementioned decision of the Minister C2007-22.</w:t>
      </w:r>
    </w:p>
    <w:p>
      <w:r>
        <w:rPr>
          <w:b/>
        </w:rPr>
        <w:t>[Pages 4–6]</w:t>
      </w:r>
    </w:p>
    <w:p>
      <w:r>
        <w:t>12. Regarding the geographical delimitation of markets, previous decision-making practice has considered that the market for services related to power supply technologies had a national dimension7. In the present case, the analysis will therefore be conducted at the national level.</w:t>
      </w:r>
    </w:p>
    <w:p>
      <w:r>
        <w:t>3. CIVIL ENGINEERING SERVICES</w:t>
      </w:r>
    </w:p>
    <w:p>
      <w:r>
        <w:t>13. Previous decision-making practice has defined a general civil engineering market encompassing three major categories of works: (i) open-air structures and industrial equipment (dams, bridges, multi-level crossing structures, etc.), (ii) underground works (underground circulation structures, water supply or drainage structures, etc.), and (iii) works in maritime or river sites (jetties, lighthouses and beacons, quay walls, piers, etc.)8.</w:t>
      </w:r>
    </w:p>
    <w:p>
      <w:r>
        <w:t>14. It has also considered the possibility of sub-segmenting this market, on the one hand, between civil engineering works carried out in the railway sector and those carried out in the highway sector and, on the other hand, between large works and smaller works9. However, the precise delimitation of the market may remain open in this case, insofar as regardless of the delimitation retained, the conclusions of the analysis remain unchanged.</w:t>
      </w:r>
    </w:p>
    <w:p>
      <w:r>
        <w:t>15. Regarding the geographical delimitation of markets, previous decision-making practice has considered that they had at least a national dimension, with the exception of smaller construction sites which seemed to have a more local dimension10. In the present case, the analysis will be conducted at the national and regional levels.</w:t>
      </w:r>
    </w:p>
    <w:p>
      <w:r>
        <w:t>4. EARTHWORKS</w:t>
      </w:r>
    </w:p>
    <w:p>
      <w:r>
        <w:t>16. Previous decision-making practice has recognized the existence of a distinct market for earthworks carried out in the open air, specifying that either they constitute a work in themselves, such as excavations or road embankments, dikes, and canals, or they allow for the realization of other categories of works such as, in particular, roads, railway tracks, or structures. They aim to prepare sites to level and consolidate the soils of communication routes, develop trenches for roadways and various networks11.</w:t>
      </w:r>
    </w:p>
    <w:p>
      <w:r>
        <w:t>17. The possibility of sub-segmenting this market based on the size of the construction sites involved has also been considered12: so-called "simple" and "medium" earthworks whose amount is less than five million euros and so-called "large-scale" earthworks whose amount is greater than five million euros. However, the precise delimitation of the market may remain open in this case, insofar as regardless of the delimitation retained, the conclusions of the analysis remain unchanged.</w:t>
      </w:r>
    </w:p>
    <w:p>
      <w:r>
        <w:t>18. Regarding the geographical delimitation of markets, previous decision-making practice has considered that large-scale earthworks had a national dimension, as companies respond to calls for tenders regardless of the location of the site in France, while simple or medium earthworks had a regional dimension, as companies only respond to calls for tenders within a regional radius corresponding to the location of their agency13. In the present case, the analysis will be conducted at the national and regional levels.</w:t>
      </w:r>
    </w:p>
    <w:p>
      <w:r>
        <w:t>III. Competitive Analysis</w:t>
      </w:r>
    </w:p>
    <w:p>
      <w:r>
        <w:t>A. ANALYSIS OF HORIZONTAL EFFECTS</w:t>
      </w:r>
    </w:p>
    <w:p>
      <w:r>
        <w:t>19. The activities of the parties overlap only in the civil engineering market. Furthermore, by retaining a segmentation based on the size of the works, the activities of the parties overlap only in the segment of civil engineering services concerning smaller works, as the TSO group does not carry out civil engineering services concerning large works.</w:t>
      </w:r>
    </w:p>
    <w:p>
      <w:r>
        <w:t>20. According to the parties' estimates, the combined market share of the parties is approximately 2% in France in 2009 (the NGE group: [0-5]%; the TSO group: [0-5]%). The competitors of the parties are Vinci ([20-30]%), Eiffage ([10-20]%), Bouygues ([5-10]%), SPIE Batignolles ([5-10]%), and Fayat ([5-10]%)14.</w:t>
      </w:r>
    </w:p>
    <w:p>
      <w:r>
        <w:t>21. Furthermore, regarding the possible sub-segmentations of this market considered by previous decision-making practice, namely the segment of railway civil engineering services, services concerning large works, and services concerning smaller works, the parties estimate that their combined market share at the national level is below 5%15.</w:t>
      </w:r>
    </w:p>
    <w:p>
      <w:r>
        <w:t>22. Similarly, at the regional level, the parties estimate that their combined market share in the segment of civil engineering services concerning smaller works is generally below 5%, except in certain regions where the NGE group holds a market share of approximately [10-20]%16. In any case, the TSO group only performs this type of services in the Brittany region.</w:t>
      </w:r>
    </w:p>
    <w:p>
      <w:r>
        <w:t>23. It follows from these elements that the notified operation is not likely to harm competition through horizontal effects in the civil engineering market in France or in any possible sub-segmentations of this market.</w:t>
      </w:r>
    </w:p>
    <w:p>
      <w:r>
        <w:t>B. ANALYSIS OF NON-HORIZONTAL EFFECTS</w:t>
      </w:r>
    </w:p>
    <w:p>
      <w:r>
        <w:t>24. The parties are also active in several markets that have connections between them. Indeed, the TSO group is present in several markets for the laying, renewal, and maintenance of railway tracks as well as in the markets for services related to power supply technologies, while the NGE group is present in the earthworks markets.</w:t>
      </w:r>
    </w:p>
    <w:p>
      <w:r>
        <w:t>25. Regarding the markets for the laying, renewal, and maintenance of railway tracks, the TSO group operates in the markets for railway and tramway tracks.</w:t>
      </w:r>
    </w:p>
    <w:p>
      <w:r>
        <w:t>26. Concerning railway tracks, the market share of the TSO group is [10-20]% in France in 2010. Its two main competitors are ETF (30%) and Colas Rail (25%). Within this market, the TSO group carries out "quick follow-up" works as well as "non-follow-up" works. In the segment of "quick follow-up" works, the TSO group holds a market share of [20-30]% corresponding to a tender it won for the period 2009-2012, and the other two awardees are: ETF ([50-60]%) and Colas Rail ([20-30]%). This market share will be [10-20]% in 2013-2015. Indeed, the awardees of the tender for the period 2013-2015 are Transalp ([30-40]%), Meccoli ([30-40]%), Colas Rail ([10-20]%), and the TSO group ([10-20]%). In the segment of "non-follow-up" works, the TSO group holds a market share of [10-20]% in France in 2010. Its main competitors are ETF (25%), Colas Rail (25%), Esaf, Sodesam, Pichenot Bouille, and Meccoli17.</w:t>
      </w:r>
    </w:p>
    <w:p>
      <w:r>
        <w:t>27. Regarding tramways, the market share of the TSO group is [5-10]% in France in 2010 (based on the number of lots awarded between 2008 and 2011). Its main competitors are ETF (26%) and Colas Rail (14%)18.</w:t>
      </w:r>
    </w:p>
    <w:p>
      <w:r>
        <w:t>28. Concerning the market for services related to power supply technologies (catenaries), the market share of the TSO group is [10-20]% in 2010 in France. Its main competitors are Colas Rail ([30-40]%), Cegelec ([10-20]%), Eurovia ([10-20]%), Inéo Scle ([10-20]%), and Alstom ([5-10]%). Retaining a segmentation of this market by type of tracks, the market share of the TSO group is [20-30]% in the railway track segment and [5-10]% in the tramway track segment19.</w:t>
      </w:r>
    </w:p>
    <w:p>
      <w:r>
        <w:t>29. Regarding the earthworks market, the NGE group holds a market share of [5-10]% in France in 200920. Its main competitors are Vinci ([5-10]%), Bouygues ([0-5]%), Eiffage ([0-5]%), SPIE Batignolles ([0-5]%), and Fayat ([0-5]%). The other competitors of the parties, who represent 78% of the market, are mainly regional operators. Within the earthworks market, 85% are large-scale earthworks and 15% are simple and medium earthworks. In the segment of large-scale earthworks, the national market share of the NGE group is approximately [20-30]%, and its main competitors are large construction groups. In the segment of simple and medium earthworks, the national market share of the NGE group is approximately 5%. At the regional level, its market share is below 10% except in the Midi Pyrénées region where it rises to approximately [10-20]%. The main competitors of the NGE group in this segment are regional operators.</w:t>
      </w:r>
    </w:p>
    <w:p>
      <w:r>
        <w:rPr>
          <w:b/>
        </w:rPr>
        <w:t>[Pages 7–7]</w:t>
      </w:r>
    </w:p>
    <w:p>
      <w:r>
        <w:t>30. The notified operation will allow the NGE group to expand the range of activities it offers in the railway works sector and to present integrated global offers within the framework of the calls for tenders that are launched.</w:t>
      </w:r>
    </w:p>
    <w:p>
      <w:r>
        <w:t>31. However, this operation is not likely to harm competition through conglomerate effects insofar as, in each of the relevant market segments in which the NGE group or the TSO group operates, their market share is relatively modest (below 25% regardless of the market segment considered).</w:t>
      </w:r>
    </w:p>
    <w:p>
      <w:r>
        <w:t>32. Furthermore, in each of the relevant market segments, the parties face competition from several operators, some of which are large construction groups such as Vinci, Bouygues/Colas, Eiffage, which offer a broader range of services than that which the new entity will provide following the operation. These competitors also hold significant market shares and will continue to exert strong competitive pressure on the new entity, making it unlikely that the new entity could lock access to one or more of these markets.</w:t>
      </w:r>
    </w:p>
    <w:p>
      <w:r>
        <w:t>33. The parties also argue that the ability to offer an integrated global offer is not a decisive advantage in the railway works sector. On the one hand, calls for tenders are most often awarded in the form of distinct lots. In this regard, the earthworks lots (activity of the NGE group) and the lots related to the laying or renewal of railway tracks and those related to power supply technologies (activity of the TSO group) are generally awarded separately. The same applies to the lots related to civil engineering. On the other hand, operators in the sector commonly form consortia to respond globally to calls for tenders.</w:t>
      </w:r>
    </w:p>
    <w:p>
      <w:r>
        <w:t>34. It follows from these elements that the notified operation is not likely to harm competition through conglomerate effects in the markets for the laying, renewal, and maintenance of railway tracks, services related to power supply technologies, earthworks, or civil engineering.</w:t>
      </w:r>
    </w:p>
    <w:p>
      <w:r>
        <w:t>DECIDES</w:t>
      </w:r>
    </w:p>
    <w:p>
      <w:r>
        <w:t>Sole Article: The notified operation under number 11-0136 is authorized.</w:t>
      </w:r>
    </w:p>
    <w:p>
      <w: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