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https://www.autoritedelaconcurrence.fr/fr/decision-de-controle-des-concentrations/relatie-la-prise-de-controle-conjoint-de-la-societe-sodrap</w:t>
      </w:r>
    </w:p>
    <w:p>
      <w:r>
        <w:t>Pages translated : 5</w:t>
      </w:r>
    </w:p>
    <w:p/>
    <w:p>
      <w:r>
        <w:rPr>
          <w:b/>
        </w:rPr>
        <w:t>[Pages 1–3]</w:t>
      </w:r>
    </w:p>
    <w:p>
      <w:r>
        <w:t>FRENCH REPUBLIC</w:t>
        <w:br/>
        <w:t>Decision No. 10-DCC-135 of October 18, 2010</w:t>
        <w:br/>
        <w:t>regarding the joint control of the company Sodrap</w:t>
        <w:br/>
        <w:t>by the company ITM Entreprises</w:t>
        <w:br/>
        <w:t>The Competition Authority,</w:t>
        <w:br/>
        <w:t>Having regard to the notification file sent to the merger service on September 15, 2010, and declared complete on the same date, concerning the joint control of the company Sodrap by the company ITM Entreprises;</w:t>
        <w:br/>
        <w:t>Having regard to Book IV of the Commercial Code relating to price freedom and competition, and in particular its Articles L. 430-1 to L. 430-7;</w:t>
        <w:br/>
        <w:t>Adopts the following decision:</w:t>
        <w:br/>
        <w:t>1. THE COMPANIES CONCERNED AND THE OPERATION</w:t>
        <w:br/>
        <w:t>1. The company ITM Entreprises, 100% controlled by the Société civile des Mousquetaires, itself held by 1,330 individuals known as "associated members," leads and animates the network of independent merchants known as the "Groupement des Mousquetaires." As a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referenced suppliers outside the "Groupement des Mousquetaires."</w:t>
        <w:br/>
        <w:t>2. The company Coulibert is a simplified joint-stock company under French law whose exclusive purpose is to hold shares in companies operating in the distribution sector. The share capital of the company Coulibert is held by the X family, with ITM holding one share that does not confer any special rights. It has not generated any revenue during the last closed financial year.</w:t>
      </w:r>
    </w:p>
    <w:p>
      <w:r>
        <w:t>3. The company Sodrap is a simplified joint-stock company under French law that operates a predominantly food retail outlet under the "Intermarché" brand located in Draveil (91). The capital of the company Sodrap is held at more than 50% by Mr. and Mrs. Y, with ITM Entreprises holding one share that does not confer any special rights.</w:t>
        <w:br/>
        <w:t>4. According to the share transfer agreement subject to conditions precedent signed by the parties on July 22, 2010, the company Coulibert committed to acquiring more than 50% of the shares of the company Sodrap. Upon completion of the transaction, ITM Entreprise will be granted a preferred share allowing it to exercise joint control of Sodrap with Coulibert. Additionally, the company Sodrap will be required to sign a brand contract for a duration of fifteen years with ITM Entreprises.</w:t>
        <w:br/>
        <w:t>5. The notified operation is therefore analyzed as the joint control by the ITM group, together with the company Coulibert, of the company Sodrap. It constitutes a concentration operation under Article L. 430-1 of the Commercial Code.</w:t>
        <w:br/>
        <w:t>6. The companies concerned operate one or more retail stores and together generate a total worldwide revenue of more than 75 million euros (ITM Entreprises group: […] billion euros for the financial year ended December 31, 2009; the company Sodrap: […] million euros for the same year). Each generates in France in the retail sector a revenue exceeding 15 million euros (ITM Entreprises group: […] billion euros for the financial year ended December 31, 2009; the company Sodrap: the revenue mentioned above is generated entirely in France). Given these revenue figures, the operation does not have a community dimension. On the other hand, the control thresholds related to retail mentioned in point II of Article L. 430-2 of the Commercial Code are exceeded. The present operation is therefore subject to the provisions of Articles L. 430-3 and following of the Commercial Code relating to economic concentration.</w:t>
        <w:br/>
        <w:t>II. Delimitation of Relevant Markets</w:t>
        <w:br/>
        <w:t>7. According to the consistent practice of national and community competition authorities, two categories of markets can be delineated in the sector of predominantly food distribution. These are, on the one hand, "downstream" markets, of local dimension, which bring together retail companies and consumers for the sale of consumer goods, and, on the other hand, "upstream" markets for supplying retail companies with everyday consumer goods, of national dimension.</w:t>
        <w:br/>
        <w:t>1 See in particular the decisions of the Commission M.496 Intermarché/Spar of June 30, 1997, M.991 Promodès/Casino of October 30, 1997, and M.1684 Carrefour/Promodès of January 25, 2000. See also the ministerial order of July 5, 2000, in the Carrefour/Promodès operation and the opinions of the Competition Authority No. 97-A-14 of July 1, 1997, in the Carrefour/Coran case No. 98-A-06 of May 5, 1998, in the Casino Franprix/Leader Price case, and No. 00-A-06 of May 3, 2000, in the Carrefour/Promodès case.</w:t>
        <w:br/>
        <w:t>2 Decisions of the Commission in the cases M.1221 Rewe/Meinl of February 3, 1999, M.1684 Carrefour/Promodès of January 25, 2000, and M.2115 Carrefour/GB of September 28, 2000. See also the decision C.2005-98 Carrefour/Penny Market of November 10, 2005.</w:t>
      </w:r>
    </w:p>
    <w:p>
      <w:r>
        <w:t>A. DOWNSTREAM DISTRIBUTION MARKETS</w:t>
        <w:br/>
        <w:t>1. SERVICE MARKETS</w:t>
        <w:br/>
        <w:t>8.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discount stores, (vi) mail order sales.</w:t>
        <w:br/>
        <w:t>9. Supermarkets are usually defined as predominantly food stores with a sales area of less than 2,500 m² and more than 400 m². It should, however, be noted that these thresholds must be used with caution and may be adapted to the specific case, given that stores whose area is close to a threshold, whether below or above, may find themselves in direct competition with the facts.</w:t>
        <w:br/>
        <w:t>10. In this case, the acquired store currently occupies a sales area of 2,380 m². It therefore falls into the category of supermarkets.</w:t>
        <w:br/>
        <w:t>2. GEOGRAPHICAL DELIMITATION</w:t>
        <w:br/>
        <w:t>11. In its recent decisions regarding operations involving hypermarkets or supermarkets, the Competition Authority has recalled that depending on the size of the stores concerned, the conditions of competition should be assessed in two different areas:</w:t>
        <w:br/>
        <w:t>- a first market where the demand from consumers in an area meets the supply of hypermarkets that they can access within less than 30 minutes of travel by car and which are, from their point of view, substitutable with each other;</w:t>
        <w:br/>
        <w:t>- a second market where the demand from consumers meets the supply of supermarkets and equivalent forms of commerce located within less than 15 minutes of travel time by car. These latter forms of commerce may include, in addition to supermarkets, hypermarkets located near consumers and discount stores.</w:t>
        <w:br/>
        <w:t>12. Other criteria may nevertheless be taken into account to assess the impact of a concentration on the competitive situation in retail distribution markets, which may lead to refining, in the specific case, the usual delimitations presented above.</w:t>
        <w:br/>
        <w:t>13. In this case, the store concerned by the operation is a supermarket since its area is 2,380 m². The competitive analysis will therefore focus on the market including all hypermarkets, supermarkets, and discount stores located within a 15-minute drive catchment area around Draveil (91).</w:t>
      </w:r>
    </w:p>
    <w:p>
      <w:r>
        <w:rPr>
          <w:b/>
        </w:rPr>
        <w:t>[Pages 4–5]</w:t>
      </w:r>
    </w:p>
    <w:p>
      <w:r>
        <w:t xml:space="preserve">3. UPSTREAM SUPPLY MARKET  </w:t>
        <w:br/>
        <w:t xml:space="preserve">14. Regarding the supply markets, the European Commission5 has identified the existence of markets of national dimension by major product groups, a delineation followed by national authorities6.  </w:t>
        <w:br/>
        <w:t xml:space="preserve">15. There is no reason to challenge this delineation on the occasion of the present operation.  </w:t>
        <w:br/>
        <w:t xml:space="preserve">III. Competitive Analysis  </w:t>
        <w:br/>
        <w:t xml:space="preserve">A. DOWNSTREAM DISTRIBUTION MARKET  </w:t>
        <w:br/>
        <w:t xml:space="preserve">16. In the market comprising supermarkets and other equivalent forms of commerce, located within a 15-minute drive catchment area around Draveil, the Intermarché operated by the company Sodrap represents 1.83% of the sales area. In total, stores operated under the Intermarché brand represent 13% of the sales area in this zone.  </w:t>
        <w:br/>
        <w:t xml:space="preserve">17. Furthermore, the notifying party indicated that competing brands had obtained authorizations for the creation and expansion of their sales areas, which will reduce the market share of the store operated by the company Sodrap to 1.7%.  </w:t>
        <w:br/>
        <w:t xml:space="preserve">18. Consequently, the operation is not likely to harm competition in the relevant markets.  </w:t>
        <w:br/>
        <w:t xml:space="preserve">B. UPSTREAM SUPPLY MARKET  </w:t>
        <w:br/>
        <w:t xml:space="preserve">19. Regarding the upstream supply markets, the operation, which concerns only one store, is not likely to significantly strengthen the purchasing power of the ITM Entreprises group, across all products as well as by major product groups.  </w:t>
        <w:br/>
        <w:t xml:space="preserve">20. Consequently, the operation is not likely to harm competition both in the downstream market and in the upstream supply market.  </w:t>
        <w:br/>
        <w:t xml:space="preserve">5 See the Commission decisions M.1684 Carrefour/Promodès of January 25, 2000 and M.2115 Carrefour/GB of September 28, 2000.  </w:t>
        <w:br/>
        <w:t xml:space="preserve">6 See notably the decisions of the minister in the sector, C.2005-98 Carrefour/Penny Market of November 10, 2005, C.2006-15 Carrefour/Groupe Hamon of April 14, 2006, C.2007-172 regarding the creation of the joint venture Plamidis of February 13, 2008, and C.2008-32 Carrefour/SAGC of July 9, 2008.  </w:t>
        <w:br/>
        <w:t>4</w:t>
      </w:r>
    </w:p>
    <w:p>
      <w:r>
        <w:t xml:space="preserve">DECIDES  </w:t>
        <w:br/>
        <w:t xml:space="preserve">Sole Article: The operation notified under number 10-0152 is authorized.  </w:t>
        <w:br/>
        <w:t xml:space="preserve">The President,  </w:t>
        <w:br/>
        <w:t xml:space="preserve">Bruno Lasserre  </w:t>
        <w:br/>
        <w:t xml:space="preserve">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