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https://www.autoritedelaconcurrence.fr/fr/decision-de-controle-des-concentrations/relatif-la-fusionabsorption-de-la-societe-mutuelle-bleue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23-DCC-142 of July 20, 2023  </w:t>
        <w:br/>
        <w:t xml:space="preserve">regarding the merger-absorption of the company Mutuelle Bleue by the  </w:t>
        <w:br/>
        <w:t xml:space="preserve">AG2R La Mondiale group  </w:t>
        <w:br/>
        <w:t xml:space="preserve">The Competition Authority,  </w:t>
        <w:br/>
        <w:t xml:space="preserve">Having regard to the complete notification file sent to the mergers department on June 30, 2023,  </w:t>
        <w:br/>
        <w:t xml:space="preserve">concerning the merger-absorption of the company Mutuelle Bleue by the AG2R La Mondiale group,  </w:t>
        <w:br/>
        <w:t xml:space="preserve">formalized by a merger agreement dated May 12, 2023;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merger-absorption by the AG2R La Mondiale group of the  </w:t>
        <w:br/>
        <w:t xml:space="preserve">company Mutuelle Bleue, which is notably active in the sectors of provident and insurance (health, funeral, and death).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thresholds provided for in Article 1, paragraph 2, a) and b) of Regulation (EC)  </w:t>
        <w:br/>
        <w:t xml:space="preserve">No. 139/2004 of the Council of January 20, 2004, are met. Nevertheless, since AG2R La Mondiale and  </w:t>
        <w:br/>
        <w:t xml:space="preserve">Mutuelle Bleue generate more than two-thirds of their European turnover in France, the operation  </w:t>
        <w:br/>
        <w:t xml:space="preserve">does not fall under the jurisdiction of the European Union. On the other hand, the control thresholds  </w:t>
        <w:br/>
        <w:t xml:space="preserve">mentioned 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23-161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