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https://www.autoritedelaconcurrence.fr/fr/decision-de-controle-des-concentrations/relatif-la-prise-de-controle-exclusif-de-la-societe-els</w:t>
      </w:r>
    </w:p>
    <w:p>
      <w:r>
        <w:t>Pages translated : 8</w:t>
      </w:r>
    </w:p>
    <w:p/>
    <w:p>
      <w:r>
        <w:rPr>
          <w:b/>
        </w:rPr>
        <w:t>[Pages 1–3]</w:t>
      </w:r>
    </w:p>
    <w:p>
      <w:r>
        <w:t xml:space="preserve">FRENCH REPUBLIC  </w:t>
        <w:br/>
        <w:t xml:space="preserve">Decision No. 15-DCC-106 of August 20, 2015  </w:t>
        <w:br/>
        <w:t xml:space="preserve">regarding the exclusive control of the company ELS Industrie and  </w:t>
        <w:br/>
        <w:t xml:space="preserve">the distribution activity of the company Atlantique Camping-Car by  </w:t>
        <w:br/>
        <w:t xml:space="preserve">the company Financière Guinhut  </w:t>
        <w:br/>
        <w:t xml:space="preserve">The Competition Authority,  </w:t>
        <w:br/>
        <w:t xml:space="preserve">Having regard to the notification file submitted in full to the merger service on July 22, 2015,  </w:t>
        <w:br/>
        <w:t xml:space="preserve">regarding the exclusive control of the company ELS Industrie and a set of assets  </w:t>
        <w:br/>
        <w:t xml:space="preserve">representing the recreational vehicle distribution activity of the company Atlantique Camping-Car by the company Financière Guinhut, formalized by a share transfer agreement and a business branch transfer agreement signed on June 12, 2015;  </w:t>
        <w:br/>
        <w:t xml:space="preserve">Having regard to Book IV of the Commercial Code relating to price freedom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Financière Guinhut is a simplified joint-stock company controlled by Mr. Olivier Guinhut.  </w:t>
        <w:br/>
        <w:t xml:space="preserve">It controls the company Sud-Loire-Caravanes (hereinafter, "SLC") operating eight recreational vehicle (hereinafter, "VDL") dealerships located in Eure et Loire (28), Sarthe (72), Maine et Loire (49), and Indre et Loire (37). SLC distributes vehicles from manufacturers or importers Trigano, Font Vendôme, Rapido, Campérêve, Bürstner, Socanor, Pilote, Adria, Frankia, Challenger, Bavaria, Le Voyageur, Chausson, Carthago, Eriba, Caravelair, Hobby, Sterckeman, and La Mancelle Trigano. It also exercises joint control over the company Alliance Camperteam, which aims to carry out communication operations, group purchases, and the development of after-sales services.  </w:t>
        <w:br/>
        <w:t xml:space="preserve">2. ELS Industrie (hereinafter, "ELSI") and Atlantique Camping-Car (hereinafter, "ACC") operate five recreational vehicle dealerships located in Loire Atlantique (44), Vendée (85), and Charente Maritime (17). These dealerships distribute vehicles from manufacturers Trigano, Societa Europea Autocaravan, Rapido, Font Vendôme, and Autostar.  </w:t>
        <w:br/>
        <w:t xml:space="preserve">They are controlled by the European company for the development of commerce and services (hereinafter, "EDCS").  </w:t>
        <w:br/>
        <w:t xml:space="preserve">3. The notified transaction, formalized by a share transfer agreement and a business branch transfer agreement signed on June 12, 2015, consists of the acquisition of 100% of the share capital of the company ELSI and a set of tangible and intangible assets corresponding to the recreational vehicle distribution activity of ACC in the Loire Atlantique department.  </w:t>
        <w:br/>
        <w:t xml:space="preserve">4. As specified in the guidelines of the Competition Authority regarding merger control, "multiple transactions constitute a single concentration operation as long as they are interdependent, in the sense that one transaction would not have been carried out without the other," such interdependence being observable when the agreements materializing these operations are linked by mutual conditionality (§63-64). In this case, the acquisition of exclusive control of ELSI and the recreational vehicle distribution activity of ACC in the Loire Atlantique department are interdependent operations in that they are legally linked by mutual conditionality, and they will be concurrent. Consequently, these operations constitute a single concentration operation.  </w:t>
        <w:br/>
        <w:t xml:space="preserve">5. Insofar as it results in the exclusive control of the targets by Financière Guinhut, the operation constitutes a concentration within the meaning of Article L. 430-1 of the Commercial Code.  </w:t>
        <w:br/>
        <w:t xml:space="preserve">6. The concerned companies together achieve a total worldwide turnover excluding tax of more than 75 million euros (Guinhut group: […] euros for the fiscal year ending August 31, 2014; targets: […] euros for the fiscal year ending July 31, 2014). At least two of these companies achieve a turnover in France exceeding 15 million euros in the retail sector (Guinhut group: […] euros for the fiscal year ending December 31, 2014; targets: […] euros for the fiscal year ending August 31, 2014). Given these turnover figures, it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 xml:space="preserve">1 See points 60 to 63 of the guidelines of the Competition Authority regarding merger control, which refer to points 38 and following of the consolidated communication of the Commission, which specify that "multiple transactions constitute a single concentration operation as long as they are interdependent, in the sense that one transaction would not have been carried out without the other." "Transactions may be considered legally linked when the agreements themselves are linked by mutual conditionality. However, it cannot be excluded that elements demonstrating that, economically, the transactions cannot occur one without the other are taken into account." Thus, "the fact that the agreements are concluded simultaneously is one of the essential elements of interdependence."  </w:t>
        <w:br/>
        <w:t>2 The turnover of the "Guinhut group" corresponds to that of all companies controlled by Mr. Olivier Guinhut as well as the corresponding share of the turnover of the companies over which he exercises joint control, in accordance with the provisions of paragraphs 186 and 187 of the consolidated communication of the Commission.</w:t>
      </w:r>
    </w:p>
    <w:p>
      <w:r>
        <w:t xml:space="preserve">II. Delimitation of Relevant Markets  </w:t>
        <w:br/>
        <w:t xml:space="preserve">A. PRODUCT AND SERVICE MARKETS  </w:t>
        <w:br/>
        <w:t xml:space="preserve">1. THE RECREATIONAL VEHICLE DISTRIBUTION SECTOR  </w:t>
        <w:br/>
        <w:t xml:space="preserve">7. In the automotive distribution sector, decision-making practice distinguishes the markets  </w:t>
        <w:br/>
        <w:t xml:space="preserve">(i) for the distribution of new passenger vehicles intended for individual customers; (ii) for the distribution of new passenger vehicles intended for professional customers; (iii) for the distribution of commercial vehicles; (iv) for the distribution of used vehicles; (v) for the distribution of automotive spare parts and accessories; (vi) for the distribution of vehicle maintenance and repair services; (vii) for the distribution of rental services. A segmentation between short-term rental and long-term rental has been considered.  </w:t>
        <w:br/>
        <w:t xml:space="preserve">8. Decision-making practice has considered that this segmentation is also applicable to the recreational vehicle sector.  </w:t>
        <w:br/>
        <w:t xml:space="preserve">9. In this case, the parties are active in the markets (i) for the distribution of new recreational vehicles and (ii) used, (iii) for the distribution of spare parts and accessories for recreational vehicles, (iv) for the distribution of maintenance and repair services for recreational vehicles, and (v) for the distribution of short-term rental services for recreational vehicles.  </w:t>
        <w:br/>
        <w:t xml:space="preserve">10. While leaving the question open, decision-making practice has considered distinguishing within the activity of distributing new or used recreational vehicles, distinct markets based on the category of recreational vehicles considered (caravans, motorhomes, mobile homes (hereinafter "mobile homes")). A distinct market for the sale of mobile homes has been considered, itself segmented based on the distribution channel, distinguishing residential mobile homes (high-end) from rental mobile homes (mid-range and low-end).  </w:t>
        <w:br/>
        <w:t xml:space="preserve">11. In any case, the question of the exact definition of the markets for the distribution of recreational vehicles can be left open insofar as, regardless of the delimitation retained, the conclusions of the competitive analysis will remain unchanged.  </w:t>
        <w:br/>
        <w:t xml:space="preserve">3 See notably Decision No. 09-DCC-01 of the Competition Authority of April 8, 2009, Decision No. 10-DCC-23 of March 1, 2010, and Decision No. 14-DCC-194 of December 26, 2014.  </w:t>
        <w:br/>
        <w:t xml:space="preserve">4 See notably the European Commission Decision COMP/M/1810 Volkswagen/Europcar of February 18, 200 and the Minister's Decision of October 17, 2002, Geudet Frères/Groupe Degand of October 17, 2002.  </w:t>
        <w:br/>
        <w:t xml:space="preserve">5 Letter from the Minister of September 3, 2003, to the advisors of the company Società Europea Autocaravan SpA, regarding a concentration in the recreational vehicle distribution sector; Decision of the Competition Authority No. 15-DCC-95 of July 15, 2015, regarding the exclusive control of Société Financière JPC by Société Financière CLC.  </w:t>
        <w:br/>
        <w:t xml:space="preserve">6 Market defined by the Commission in its decision of July 20, 2007, COMP M.4757 Nordic Capital/Thule which however left open the question of possible sub-segmentation based on types of accessories. The Competition Authority, in its opinions No. 09-A-18 of June 2, 2009, regarding two derogatory agreements on payment deadlines in the recreational vehicle sector No. 13-A-03 of January 29, 2013, regarding two derogatory agreements for payment deadlines in the recreational vehicle sector, has delineated a market of products consisting of accessories for recreational vehicles.  </w:t>
        <w:br/>
        <w:t xml:space="preserve">7 Letter from the Minister of September 3, 2003, and Decision of the Authority No. 15-DCC-95 of July 15, 2015, cited above.  </w:t>
        <w:br/>
        <w:t>8 Letter C 2006-107 from the Minister of March 5, 2007, to the advisors of the Béneteau SA group, regarding a concentration in the leisure residence sector.</w:t>
      </w:r>
    </w:p>
    <w:p>
      <w:r>
        <w:rPr>
          <w:b/>
        </w:rPr>
        <w:t>[Pages 4–6]</w:t>
      </w:r>
    </w:p>
    <w:p>
      <w:r>
        <w:t xml:space="preserve">B. GEOGRAPHICAL DELIMITATION OF MARKETS  </w:t>
        <w:br/>
        <w:t xml:space="preserve">12. Regarding the markets for the distribution of new and used recreational vehicles, decision-making practice has left open the question of whether they have a national or local dimension. It has considered that the mobile home market could have at least a national dimension while leaving the question open. The current decision-making practice for the distribution of new automobiles generally adopts a departmental definition while supplementing the analysis with a more broadly defined catchment area, delineated on a case-by-case basis according to local geographical characteristics.  </w:t>
        <w:br/>
        <w:t xml:space="preserve">13. Regarding the distribution of recreational vehicles, decision-making practice has noted that the behavior of recreational vehicle buyers differs from that of automobile buyers, the specificity of recreational vehicles justifying greater travel distances on the part of customers. While leaving the question open, it has thus conducted a competitive analysis on catchment areas including the department of establishment of each dealership as well as the neighboring departments. In this case, the competitive analysis will be conducted at both the national and local levels by catchment areas.  </w:t>
        <w:br/>
        <w:t xml:space="preserve">14. However, there is no need to conclude on the precise delimitation of these markets in this case since this question has no impact on the competitive analysis.  </w:t>
        <w:br/>
        <w:t xml:space="preserve">15. Regarding the markets for the distribution (i) of spare parts and accessories for recreational vehicles, and (ii) of maintenance and repair services for recreational vehicles, decision-making practice has left open the question of whether they have a national or local dimension. In the automotive distribution sector, decision-making practice generally conducts an analysis at the departmental level. In this case, the competitive analysis will be conducted at both the national and departmental levels.  </w:t>
        <w:br/>
        <w:t xml:space="preserve">16. Regarding the vehicle rental markets, decision-making practice has left open the question of geographical delimitation while noting that these markets could have a national or local dimension depending on the nature of the services provided.  </w:t>
        <w:br/>
        <w:t xml:space="preserve">17. There is no need to conclude on the precise delimitation of these markets in this case since this question has no impact on the competitive analysis.  </w:t>
        <w:br/>
        <w:t xml:space="preserve">9 Letter from the Minister dated September 3, 2003, cited above.  </w:t>
        <w:br/>
        <w:t xml:space="preserve">10 Letter from the Minister dated March 5, 2007, cited above.  </w:t>
        <w:br/>
        <w:t xml:space="preserve">11 Letter from the Minister dated October 17, 2002, to the President of the company SA Gueudet Frères, regarding a concentration in the automotive dealership sector; decision of the Competition Authority No. 09-DCC-01 of April 8, 2009, regarding the acquisition of control of Pellier Metz S.A.S. by the Bailly S.A.S. group.  </w:t>
        <w:br/>
        <w:t xml:space="preserve">12 Decision of the Authority No. 15-DCC-95 of July 15, 2015, cited above.  </w:t>
        <w:br/>
        <w:t xml:space="preserve">13 Letter from the Minister dated September 3, 2003, and decision of the Authority No. 15-DCC-95 of July 15, 2015, cited above.  </w:t>
        <w:br/>
        <w:t xml:space="preserve">14 See, for example, decision No. 14-DCC-194, cited above.  </w:t>
        <w:br/>
        <w:t>15 See European Commission decision COMP/M/1810 Volkswagen/Europcar of February 18, 2000, and the decision of the Minister dated October 17, 2002, Geudet Frères/Groupe Degand of October 17, 2002, and the decision of the Competition Authority No. 10-DCC-131 of October 19, 2010, regarding the exclusive control of Société Nouvelle Distribution Automobiles and Société Deffeuille Automobiles by the Bernard group.</w:t>
      </w:r>
    </w:p>
    <w:p>
      <w:r>
        <w:t xml:space="preserve">III. Competitive Analysis  </w:t>
        <w:br/>
        <w:t xml:space="preserve">18. The operation results in an overlap of activities of the parties in the various markets of the recreational vehicle distribution sector.  </w:t>
        <w:br/>
        <w:t xml:space="preserve">a) The market for the distribution of recreational vehicles  </w:t>
        <w:br/>
        <w:t xml:space="preserve">19. Market shares have been assessed by the notifying party by relating the vehicle sales made by the parties to the total registrations of vehicles recorded, in accordance with decision-making practice in the distribution of automobiles as well as in that of recreational vehicles.  </w:t>
        <w:br/>
        <w:t xml:space="preserve">20. At the national level, the share of the new entity in the market for the distribution of new recreational vehicles is [0-5] %. It is [0-5] % in the caravan segment and [5-10] % in the motorhome segment. In the market for the distribution of used recreational vehicles, the market share is [0-5] %. It is [0-5] % in the caravan segment and [0-5] % in the motorhome segment. Finally, the parties are not active in the mobile home segment.  </w:t>
        <w:br/>
        <w:t xml:space="preserve">21. Furthermore, the increment in market shares resulting from the operation remains below [0-5] % in these various segments, and the parties will face competition from several groups or associations such as CLC, TPL-SODEV, Ypo Camp, Masters France, Idylcar, Socanor, as well as independent distributors.  </w:t>
        <w:br/>
        <w:t xml:space="preserve">22. At the departmental level, no dealership of the acquirer is present in a department where one of the targets has a dealership. The operation, however, results in overlaps of activity in the market for the distribution of recreational vehicles, particularly in the segments of new and used motorhomes in several catchment areas located around the dealerships of the acquirer and the targets, including the department of establishment and the neighboring departments.  </w:t>
        <w:br/>
        <w:t>23. Regarding the segment of new motorhomes, the market shares of the parties are reproduced in the table below:</w:t>
      </w:r>
    </w:p>
    <w:p>
      <w:r>
        <w:t xml:space="preserve">Cumulative Position of  </w:t>
        <w:br/>
        <w:t xml:space="preserve">Zone SLC Targets  </w:t>
        <w:br/>
        <w:t xml:space="preserve">Parties  </w:t>
        <w:br/>
        <w:t xml:space="preserve">Dealerships SLC 28 [10-20] % [0-5] % [10-20] %  </w:t>
        <w:br/>
        <w:t xml:space="preserve">Dealership SLC 37 [30-40] % [0-5] % [30-40] %  </w:t>
        <w:br/>
        <w:t xml:space="preserve">Dealerships SLC 49 [10-20] % [5-10] % [20-30] %  </w:t>
        <w:br/>
        <w:t xml:space="preserve">Dealership SLC 72 [30-40] % [0-5] % [30-40] %  </w:t>
        <w:br/>
        <w:t xml:space="preserve">Dealerships ELSI 44 and  </w:t>
        <w:br/>
        <w:t xml:space="preserve">[10-20] % [10-20] % [20-30] %  </w:t>
        <w:br/>
        <w:t xml:space="preserve">ACC 44  </w:t>
        <w:br/>
        <w:t>Dealerships ELSI 85 [10-20] % [10-20] % [30-40] %</w:t>
      </w:r>
    </w:p>
    <w:p>
      <w:r>
        <w:t xml:space="preserve">24. It follows from these elements that the operation does not result in a significant modification of market structures except in the areas around the dealerships in Maine and Loire (49), Loire Atlantique (44), and Vendée (85). However, in each of these areas, the combined market shares of the parties remain below 40%. The new entity will continue to face a large number of competitors, as there are more than twenty competing distributors in each of the affected areas. The parties will therefore remain subject to significant competitive pressure following the operation.  </w:t>
        <w:br/>
        <w:t>25. Regarding the segment of used motorhomes, the market shares of the parties are reproduced in the table below:</w:t>
      </w:r>
    </w:p>
    <w:p>
      <w:r>
        <w:t xml:space="preserve">Cumulative Position of  </w:t>
        <w:br/>
        <w:t xml:space="preserve">Zone SLC Targets  </w:t>
        <w:br/>
        <w:t xml:space="preserve">Parties  </w:t>
        <w:br/>
        <w:t xml:space="preserve">Dealerships SLC 28 [5-10] % [0-5] % [5-10] %  </w:t>
        <w:br/>
        <w:t xml:space="preserve">Dealership SLC 37 [10-20] % [0-5] % [10-20] %  </w:t>
        <w:br/>
        <w:t xml:space="preserve">18 Zone including the department of Eure et Loire (28) as well as Yvelines (78), Eure (27), Orne (61), Sarthe (72), Loir et Cher (41), Loiret (45), and Essonne (91).  </w:t>
        <w:br/>
        <w:t xml:space="preserve">19 Zone including the department of Indre et Loire (37) as well as Loir et Cher (41), Indre (36), Vienne (86), Maine et Loire (49), and Sarthe (72). The competitive analysis remains unchanged in an area also including the department of Deux-Sèvres (79) which, while not bordering in the literal sense, is likely to be included in the area given its geographical configuration.  </w:t>
        <w:br/>
        <w:t xml:space="preserve">20 Zone including the department of Maine et Loire (49) as well as Ille et Vilaine (35), Mayenne (53), Sarthe (72), Indre et Loire (37), Vienne (86), Deux Sèvres (79), Vendée (85), and Loire Atlantique (44).  </w:t>
        <w:br/>
        <w:t xml:space="preserve">21 Zone including the department of Sarthe (72) as well as Orne (61), Eure et Loire (28), Loir et Cher (41), Indre et Loire (37), Maine et Loire (49), and Mayenne (53).  </w:t>
        <w:br/>
        <w:t xml:space="preserve">22 Zone including the department of Loire Atlantique (44) as well as Morbihan (56), Ille et Vilaine (35), Mayenne (53), Maine et Loire (49), and Vendée (85).  </w:t>
        <w:br/>
        <w:t>23 Zone including the department of Vendée (85) as well as Loire Atlantique (44), Maine et Loire (49), Deux Sèvres (79), and Charente Maritime (17).</w:t>
      </w:r>
    </w:p>
    <w:p>
      <w:r>
        <w:rPr>
          <w:b/>
        </w:rPr>
        <w:t>[Pages 7–8]</w:t>
      </w:r>
    </w:p>
    <w:p>
      <w:r>
        <w:t xml:space="preserve">Cumulative Position of  </w:t>
        <w:br/>
        <w:t xml:space="preserve">Zone SLC Targets  </w:t>
        <w:br/>
        <w:t xml:space="preserve">Parties  </w:t>
        <w:br/>
        <w:t xml:space="preserve">SLC Concessions 49 [5-10] % [0-5] % [10-20] %  </w:t>
        <w:br/>
        <w:t xml:space="preserve">SLC Concession 72 [10-20] % [0-5] % [10-20] %  </w:t>
        <w:br/>
        <w:t xml:space="preserve">ELSI Concessions 44 and  </w:t>
        <w:br/>
        <w:t xml:space="preserve">[5-10] % [0-5] % [10-20] %  </w:t>
        <w:br/>
        <w:t xml:space="preserve">ACC 44  </w:t>
        <w:br/>
        <w:t xml:space="preserve">ELSI Concessions 85 [5-10] % [5-10] % [10-20] %  </w:t>
        <w:br/>
        <w:t xml:space="preserve">26. In the six concerned zones, the market shares of the new entity will be below 25%, with the operation resulting in a market share increment between [0-5] and [5-10] %. Furthermore, the parties will face numerous competing concessions (seventeen to thirty-one depending on the zones), likely to exert sufficient competitive pressure following the operation.  </w:t>
        <w:br/>
        <w:t xml:space="preserve">27. It follows from all these elements that the notified operation is not likely to harm competition in the markets for the distribution of recreational vehicles.  </w:t>
        <w:br/>
        <w:t xml:space="preserve">b) On the markets for spare parts and maintenance and repair services for recreational vehicles  </w:t>
        <w:br/>
        <w:t xml:space="preserve">28. The parties engage in the sale of spare parts for the "cell" part of recreational vehicles, on the one hand, and in the repair of the "cell" part and the bodywork of recreational vehicles, on the other hand.  </w:t>
        <w:br/>
        <w:t xml:space="preserve">29. At the national level, the market share of the new entity is estimated by the notifying party to be less than [0-5] %, with the operation resulting in a market share increment of [0-5] %.  </w:t>
        <w:br/>
        <w:t xml:space="preserve">30. At the departmental level, the notifying party has not been able to provide market share estimates. However, it notes that regarding repair services, the new entity will face many other authorized dealers by manufacturers likely to exert competitive pressure on the new entity in each of the concerned zones. In any case, the notifying party estimates that the cumulative market share of the new entity should not exceed [0-5] % in local markets.  </w:t>
        <w:br/>
        <w:t xml:space="preserve">31. Similarly, regarding the sale of spare parts and accessories for recreational vehicles, the new entity will face competition from many other recreational vehicle dealers also engaged in the sale of spare parts and accessories in the various concerned zones. The parties will also continue to face competition from companies not specialized in recreational vehicles, such as Decathlon.  </w:t>
        <w:br/>
        <w:t xml:space="preserve">32. It follows from all these elements that the notified operation is not likely to harm competition in the markets for spare parts and maintenance and repair services for recreational vehicles.  </w:t>
        <w:br/>
        <w:t xml:space="preserve">c) On the markets for the rental of recreational vehicles  </w:t>
        <w:br/>
        <w:t xml:space="preserve">33. At the national level, the market share of the new entity in the overall market for the rental of recreational vehicles is estimated by the notifying party to be [0-5] %, with the operation resulting in only a marginal market share increment, on the order of [0-5] %.  </w:t>
        <w:br/>
        <w:t xml:space="preserve">34. At the local level, the operation does not result in any overlap of activity at the departmental level. However, the activities of the parties overlap in expanded areas to the neighboring departments around the rental points of the parties located in Maine and Loire (49), Loire Atlantique (44), and Vendée (85). The notifying party has not been able to estimate the market share of the new entity in local markets. However, the parties will face competition from many operators in the area surrounding their rental points (between 15 to over 30 depending on the rental points concerned).  </w:t>
        <w:br/>
        <w:t xml:space="preserve">35. It follows from all these elements that the notified operation is not likely to harm competition in the markets for the rental of recreational vehicles.  </w:t>
        <w:br/>
        <w:t xml:space="preserve">DECIDES  </w:t>
        <w:br/>
        <w:t xml:space="preserve">Sole Article: The notified operation under number 15-128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