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https://www.autoritedelaconcurrence.fr/fr/decision-de-controle-des-concentrations/relatif-la-prise-de-controle-exclusif-du-groupe-cahors-par</w:t>
      </w:r>
    </w:p>
    <w:p>
      <w:r>
        <w:t>Pages translated : 2</w:t>
      </w:r>
    </w:p>
    <w:p/>
    <w:p>
      <w:r>
        <w:rPr>
          <w:b/>
        </w:rPr>
        <w:t>[Pages 1–2]</w:t>
      </w:r>
    </w:p>
    <w:p>
      <w:r>
        <w:t xml:space="preserve">FRENCH REPUBLIC  </w:t>
        <w:br/>
        <w:t xml:space="preserve">Decision No. 19-DCC-130 of July 3, 2019  </w:t>
        <w:br/>
        <w:t xml:space="preserve">regarding the exclusive control acquisition of the Cahors group by the Epsys group  </w:t>
        <w:br/>
        <w:t>The Competition Authority,</w:t>
      </w:r>
    </w:p>
    <w:p>
      <w:r>
        <w:t>Having regard to the complete notification file sent to the mergers department on May 27, 2019, concerning the exclusive control acquisition of the Cahors group by the Epsys group, formalized by a firm and definitive offer to take over the activities of the Cahors group, dated April 25, 2019;</w:t>
      </w:r>
    </w:p>
    <w:p>
      <w:r>
        <w:t>Having regard to Book IV of the Commercial Code relating to the freedom of prices and competition, and in particular its Articles L. 430-1 to L. 430-7;</w:t>
      </w:r>
    </w:p>
    <w:p>
      <w:r>
        <w:t>Having regard to the additional elements provided by the parties during the investigation;</w:t>
      </w:r>
    </w:p>
    <w:p>
      <w:r>
        <w:t xml:space="preserve">Adopts the following decision:  </w:t>
        <w:br/>
        <w:t xml:space="preserve">1. The notified operation consists of the exclusive control acquisition of the Cahors group by the Epsys group. It constitutes a concentration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  </w:t>
        <w:br/>
        <w:t xml:space="preserve">2. The markets concerned by the operation are those of the manufacture of transport and energy distribution equipment, low voltage products, telecom equipment and accessories, and the manufacture of connectors, which are consistently defined by decision-making practice.  </w:t>
        <w:br/>
        <w:t xml:space="preserve">3. Regardless of the segmentations retained, the cumulative market shares of the parties are below 25% when their activities overlap in the same market and below 30% when their activities are located in upstream or downstream markets or have links of connectivity between them.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19-127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