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https://www.autoritedelaconcurrence.fr/fr/decision-de-controle-des-concentrations/relatif-lacquisition-dactifs-du-groupekey-plastics-par-la</w:t>
      </w:r>
    </w:p>
    <w:p>
      <w:r>
        <w:t>Pages translated : 5</w:t>
      </w:r>
    </w:p>
    <w:p/>
    <w:p>
      <w:r>
        <w:rPr>
          <w:b/>
        </w:rPr>
        <w:t>[Pages 1–3]</w:t>
      </w:r>
    </w:p>
    <w:p>
      <w:r>
        <w:t xml:space="preserve">FRENCH REPUBLIC  </w:t>
        <w:br/>
        <w:t xml:space="preserve">Decision No. 10-DCC-30 of April 7, 2010  </w:t>
        <w:br/>
        <w:t xml:space="preserve">regarding the acquisition by the Plastivaloire group of the assets of Key Plastics  </w:t>
        <w:br/>
        <w:t>France and Slovakia as part of a divestiture plan</w:t>
      </w:r>
    </w:p>
    <w:p>
      <w:r>
        <w:t xml:space="preserve">The Competition Authority,  </w:t>
        <w:br/>
        <w:t xml:space="preserve">Having regard to the notification file sent to the concentrations service on May 18, 2009, and declared complete on March 19, 2010, regarding the acquisition of the industrial assets of the French companies Key Plastics Europe Holding, Key Plastics Interiors, Key Plastics Franche-Comté, Key Plastics International, and the Slovak company Key Plastics Slovakia, in judicial reorganization, by the company Plastiques du Val de Loire, formalized by the judgments of the Commercial Court of Alençon dated May 29, 2009;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The Plastivaloire group is active in the sector of manufacturing plastic parts by injection and their assembly into sub-assemblies. Plastiques du Val de Loire S.A. (hereinafter "PVL") is the parent company of a group of companies active in this sector that transform thermoplastic granules of petroleum origin into parts primarily intended for the following sectors: TV/Video, automotive, electrical industry (lighting, general electricity), household appliances, and gardening articles. The total worldwide turnover excluding taxes achieved by the Plastivaloire group in 2008, the last closed fiscal year, amounts to 253.4 million euros, of which 121.9 million euros in France.  </w:t>
        <w:br/>
        <w:t xml:space="preserve">2. Key Plastics is an international group specialized in the design, development, production, and provision of products and services for the automotive industry. The group is particularly specialized in plastic injection and masters the blow-extrusion technology for plastic parts that allows for the creation of hollow bodies. The acquisition concerns certain asset elements of the French companies Key Plastics Europe Holding, Key Plastics Interiors, Key Plastics Franche-Comté, Key Plastics International, and the Slovak company Key Plastics Slovakia. The total worldwide turnover excluding taxes attributed to the concerned asset elements amounts to 68.3 million euros in 2008 and is realized exclusively in France.  </w:t>
        <w:br/>
        <w:t xml:space="preserve">3. The acquisition is part of a judicial reorganization procedure. By five judgments rendered on May 29, 2009, the Commercial Court of Alençon ordered the transfer of the assets of the companies Key Plastics Europe Holding, Key Plastics Interiors, Key Plastics Franche-Comté, Key Plastics International, and Key Plastics Slovakia to the benefit of PVL.  </w:t>
        <w:br/>
        <w:t>4. As it results in the exclusive control of the assets of the companies Key Plastics Europe Holding, Key Plastics Interiors, Key Plastics Franche-Comté, Key Plastics International, and Key Plastics Slovakia by PVL, the notified operation constitutes a concentration within the meaning of Article L. 430-1 of the Commercial Code. Given the turnover of the concerned companies, it does not have a community dimension. However, the control thresholds mentioned in point I of Article L. 430-2 of the Commercial Code are exceeded. The present operation is therefore subject to the provisions of Articles L. 430-3 and following of the Commercial Code relating to economic concentration.</w:t>
      </w:r>
    </w:p>
    <w:p>
      <w:r>
        <w:t xml:space="preserve">II. Definition of the relevant markets  </w:t>
        <w:br/>
        <w:t xml:space="preserve">A. THE CONCERNED MARKETS  </w:t>
        <w:br/>
        <w:t xml:space="preserve">5. The parties are simultaneously active in the sector of manufacturing plastic spare parts for the automotive industry.  </w:t>
        <w:br/>
        <w:t xml:space="preserve">6. In terms of automotive equipment, both national and community decision-making practices have considered that each type of part could constitute a relevant market given the absence of substitutability between different types of parts. Specific markets have notably been identified for bumpers, door panels, dashboards, mudguards, side protections (body belts), sills, spoilers, or even decorated parts for dashboards and door panels...  </w:t>
        <w:br/>
        <w:t xml:space="preserve">7. Furthermore, the decision-making practice of the minister and the European Commission has distinguished, in their decisions relating to the automotive equipment sector, on the one hand, markets of original equipment (OEM – Original Equipment Manufacturer) and spare parts distributed by manufacturers' networks (OES – Original Equipment Services), and on the other hand, markets comprising spare parts distributed by large distribution networks or vehicle maintenance specialists (IAM – Independent Aftermarket). The parties to the operation are only active in the OEM/OES channel.  </w:t>
        <w:br/>
        <w:t xml:space="preserve">8. The community authorities have also considered segmenting product markets based on the type of vehicle in which the automotive part will be integrated (passenger and light commercial vehicles, and heavy trucks). The parties to the operation are primarily active in the market for passenger and light commercial vehicles.  </w:t>
        <w:br/>
        <w:t xml:space="preserve">9. The parties believe that it is appropriate to segment the market taking into account the technique used for the manufacture of plastic parts intended for the automotive sector. Thus, the use of blow extrusion, which is a plastic processing technique used to create "hollow" bodies or "volumes," would allow for the establishment of a distinct market from that of "solid" parts manufactured by plastic injection, as the two techniques are not substitutable.  </w:t>
        <w:br/>
        <w:t xml:space="preserve">10. The parties also consider that it is appropriate to distinguish, on the one hand, a "designer-developer" market on which the acquired assets would be located, and on the other hand, a "production only" market on which PVL would be active. The first market would be characterized by the fact that the production of each specific part requires the design and development of a mold, designed and developed by a "supplier-designer." The second market would be limited to the sole production of the part using a mold provided by a "supplier-designer."  </w:t>
        <w:br/>
        <w:t>11. In this case, the question of defining the segmentation of the market according to the technology used, according to the design capacity of the company, or even according to the type of parts can be left open, insofar as regardless of the position adopted, the conclusions of the competitive analysis will remain unchanged.</w:t>
      </w:r>
    </w:p>
    <w:p>
      <w:r>
        <w:t xml:space="preserve">B. GEOGRAPHICAL DELIMITATION OF MARKETS  </w:t>
        <w:br/>
        <w:t>12. In terms of automotive spare parts, decision-making practice consistently considers that the markets are at least community in dimension, as manufacturers of automotive parts operate throughout Europe and there are no technical standards or other regulatory barriers to trade within the European Economic Area, nor customs barriers between member states. This situation is also found in the more specific sector of plastic parts, and the present investigation does not lead to questioning such an approach. Consequently, for the purposes of this analysis, the impact of the operation will be examined on European markets for automotive parts.</w:t>
      </w:r>
    </w:p>
    <w:p>
      <w:r>
        <w:rPr>
          <w:b/>
        </w:rPr>
        <w:t>[Pages 4–5]</w:t>
      </w:r>
    </w:p>
    <w:p>
      <w:r>
        <w:t>III. Competitive Analysis</w:t>
      </w:r>
    </w:p>
    <w:p>
      <w:r>
        <w:t>13. It emerges from the examination of the file that, regardless of the segmentation adopted, the market shares held by the parties prior to the operation are very moderate (a maximum of 6% reached on battery trays) and that, in any case, the overlaps in activities will be limited.</w:t>
      </w:r>
    </w:p>
    <w:p>
      <w:r>
        <w:t>14. Indeed, regarding production techniques, the Key Plastics group is characterized by its expertise in the blow molding extrusion technique for plastic parts, while PVL is only active in parts produced using the injection technique. Thus, if a market segmentation based on production technique were to be adopted, the parties would only be jointly active in parts created by injection.</w:t>
      </w:r>
    </w:p>
    <w:p>
      <w:r>
        <w:t>15. Furthermore, the segmentation of markets by types of parts overlaps with that by production techniques. Indeed, the technical process implemented has a direct consequence on the type of parts that can be produced. Plastic injection produces "solid" parts while blow molding allows for the production of "hollow" parts or "volumes." The activities of the parties therefore overlap again only on certain types of parts produced by injection, namely the vents and mechanisms (glove box, cup holder, handle, armrests...), on one hand, and the cabinetry, on the other hand. For these parts, the parties are modest players at the European level, their market share remaining after the operation below 3% on vents and mechanisms and 1% on cabinetry.</w:t>
      </w:r>
    </w:p>
    <w:p>
      <w:r>
        <w:t>16. Moreover, the new entity will face competition from numerous larger operators in each of these activities. For example, Bourbon manufactures vents and mechanisms and has, according to the parties, a market share of 10%. Similarly, Mecaplast manufactures cabinetry and has, according to the parties, a market share of 4%. The sector of plastic parts production for the automotive industry is generally not very concentrated. The plastic processing competitors and equipment manufacturers remain numerous in the market, of significant size and, for some, backed by large groups (Faurecia, Visteon, Plastic Omnium, Cockpit Automotive, Bourbon, Manuplast, Dorier, MGI, Mecaplast, Dr Schneider, Ohlo).</w:t>
      </w:r>
    </w:p>
    <w:p>
      <w:r>
        <w:t>17. Finally, the customers, automobile manufacturers, are concentrated and benefit, as noted by both community and national competition authorities, from significant market power.</w:t>
      </w:r>
    </w:p>
    <w:p>
      <w:r>
        <w:t>18. The operation will also allow PVL to expand the range of automotive parts it offers, particularly to parts produced by blow molding. Nevertheless, the new entity will not have a position in any of the contemplated markets from which it could exert leverage. This operation is therefore not likely to harm competition through conglomerate effects in the markets for plastic parts for the automotive industry.</w:t>
      </w:r>
    </w:p>
    <w:p>
      <w:r>
        <w:t>19. The present operation is therefore not likely to harm competition in the markets for plastic parts intended for the automotive industry.</w:t>
      </w:r>
    </w:p>
    <w:p>
      <w:r>
        <w:t>DECIDES</w:t>
      </w:r>
    </w:p>
    <w:p>
      <w:r>
        <w:t>Sole Article: The operation notified under number 09-0030 is authorized.</w:t>
      </w:r>
    </w:p>
    <w:p>
      <w: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