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https://www.autoritedelaconcurrence.fr/fr/decision-de-controle-des-concentrations/relative-au-controle-conjoint-de-la-societe-tivoli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13-DCC-32 of March 14, 2013  </w:t>
        <w:br/>
        <w:t xml:space="preserve">regarding the joint control of the company Tivoli Distribution by the  </w:t>
        <w:br/>
        <w:t xml:space="preserve">company Sesyclau and ITM Alimentaire Centre Ouest  </w:t>
        <w:br/>
        <w:t xml:space="preserve">The Competition Authority,  </w:t>
        <w:br/>
        <w:t xml:space="preserve">Having regard to the complete notification file submitted to the mergers department on February 8, 2013,  </w:t>
        <w:br/>
        <w:t xml:space="preserve">concerning the joint control of the company Tivoli Distribution by the company Sesyclau and the  </w:t>
        <w:br/>
        <w:t xml:space="preserve">company ITM Alimentaire Centre Ouest;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the company Tivoli Distribution,  </w:t>
        <w:br/>
        <w:t xml:space="preserve">which operates a food distribution business predominantly under the Intermarché brand, with a surface area of 2,490 m² in the city of La Châtre (36), by the company  </w:t>
        <w:br/>
        <w:t xml:space="preserve">Sesyclau, which is itself active in the retail trade predominantly in food, alongside  </w:t>
        <w:br/>
        <w:t xml:space="preserve">ITM Alimentaire Ouest.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have a community dimension. On the other hand, the thresholds for  </w:t>
        <w:br/>
        <w:t xml:space="preserve">control relating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13-025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