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https://www.autoritedelaconcurrence.fr/fr/decision-de-controle-des-concentrations/relative-au-controle-exclusif-de-la-societe-bva-par-la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13-DCC-30 of March 7, 2013  </w:t>
        <w:br/>
        <w:t xml:space="preserve">regarding the exclusive control of the company BVA by the company  </w:t>
        <w:br/>
        <w:t xml:space="preserve">Montefiore Investment  </w:t>
        <w:br/>
        <w:t xml:space="preserve">The Competition Authority,  </w:t>
        <w:br/>
        <w:t xml:space="preserve">Having regard to the notification file sent complete to the mergers department on February 18, 2012,  </w:t>
        <w:br/>
        <w:t xml:space="preserve">regarding the exclusive control of the company BVA by the company Montefiore Investment;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company BVA, active in the  </w:t>
        <w:br/>
        <w:t xml:space="preserve">market research and opinion sector, by the company Montefiore Investment via its venture capital fund Montefiore Investment III. It constitutes a concentration operation within the meaning of Article L. 430-1 of the Commercial Code. Given the turnover achieved by the companies concerned, the operation does not have a community dimension. On the other hand, the control thresholds relating to concentration operations mentioned in point I of Article L. 430-2 of the Commercial Code are exceeded. The present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13-024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