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https://www.autoritedelaconcurrence.fr/fr/decision-de-controle-des-concentrations/relative-au-passage-dun-controle-conjoint-par-la-banque</w:t>
      </w:r>
    </w:p>
    <w:p>
      <w:r>
        <w:t>Pages translated : 2</w:t>
      </w:r>
    </w:p>
    <w:p/>
    <w:p>
      <w:r>
        <w:rPr>
          <w:b/>
        </w:rPr>
        <w:t>[Pages 1–2]</w:t>
      </w:r>
    </w:p>
    <w:p>
      <w:r>
        <w:t xml:space="preserve">FRENCH REPUBLIC  </w:t>
        <w:br/>
        <w:t xml:space="preserve">Decision No. 19-DCC-14 of January 30, 2019  </w:t>
        <w:br/>
        <w:t xml:space="preserve">regarding the transition from joint control by La Banque Postale and Société Générale to exclusive control by La Banque Postale of La Banque Postale Financement  </w:t>
        <w:br/>
        <w:t xml:space="preserve">The Competition Authority,  </w:t>
        <w:br/>
        <w:t xml:space="preserve">Having regard to the complete notification file submitted to the mergers department on January 8, 2019, concerning the transition from joint control by La Banque Postale and Société Générale to exclusive control by La Banque Postale of La Banque Postale Financement, formalized by a share transfer agreement dated December 20, 2018;  </w:t>
        <w:br/>
        <w:t xml:space="preserve">Having regard to Book IV of the Commercial Code relating to freedom of prices and competition, and in particular its Articles L. 430-1 to L. 430-7;  </w:t>
        <w:br/>
        <w:t xml:space="preserve">Adopts the following decision:  </w:t>
        <w:br/>
        <w:t xml:space="preserve">1. The notified operation involves the transition from joint control by La Banque Postale and Société Générale to exclusive control by La Banque Postale of La Banque Postale Financement. It constitutes a concentration within the meaning of Article L. 430-1 of the Commercial Code. Given the turnover achieved by the concerned companies, the notification thresholds of Article 1 paragraph 2 of Regulation (EC) 139/2004 are exceeded, but since each of the concerned companies generates more than two-thirds of its turnover within the Union in France,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consumer credit, credit restructuring, and banking intermediation, which are consistently defined by the decision-making practice of the Competition Authority.  </w:t>
        <w:br/>
        <w:t xml:space="preserve">3. Regardless of the segmentations retained, the cumulative market shares of the parties are below 25% when their activities overlap in the same market and below 30% when their activities are located in upstream or downstream markets.  </w:t>
        <w:br/>
        <w:t>4. Considering the elements of the file and in particular point 384 of the guidelines of the Competition Authority regarding the control of concentrations, the operation is not likely to harm competition.</w:t>
      </w:r>
    </w:p>
    <w:p>
      <w:r>
        <w:t xml:space="preserve">DECIDES  </w:t>
        <w:br/>
        <w:t xml:space="preserve">Sole Article: The operation notified under number 18-144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