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https://www.autoritedelaconcurrence.fr/fr/decision-de-controle-des-concentrations/relative-au-passage-dun-controle-exclusif-par-le-groupe</w:t>
      </w:r>
    </w:p>
    <w:p>
      <w:r>
        <w:t>Pages translated : 9</w:t>
      </w:r>
    </w:p>
    <w:p/>
    <w:p>
      <w:r>
        <w:rPr>
          <w:b/>
        </w:rPr>
        <w:t>[Pages 1–3]</w:t>
      </w:r>
    </w:p>
    <w:p>
      <w:r>
        <w:t>FRENCH REPUBLIC</w:t>
        <w:br/>
        <w:t>Decision No. 18-DCC-16 of January 17, 2018</w:t>
        <w:br/>
        <w:t>regarding the transition from exclusive control by the Perrigault group to joint control with the company TIL of the Porte Océane terminal at the port of Le Havre</w:t>
        <w:br/>
        <w:t>The Competition Authority,</w:t>
        <w:br/>
        <w:t>Having regard to the notification file submitted in full to the concentrations service on December 11, 2017, concerning the transition from exclusive control by the Perrigault group to joint control with the company Terminal Investment Limited, of the companies Terminal Porte Océane, Société Équipement du Terminal Porte Océane, Ateliers de Normandie, Portiques de Normandie Assistance, Terminal de Normandie, Dockers de Normandie, Daumas Autheman et Associés, Roussel and Océangrais Manutention, an operation formalized by a Memorandum of Understanding signed on September 25, 2017;</w:t>
        <w:br/>
        <w:t>Having regard to Book IV of the Commercial Code relating to price and competition freedom, and in particular its Articles L. 430-1 to L. 430-7;</w:t>
        <w:br/>
        <w:t>Having regard to the supplementary elements transmitted by the parties during the investigation;</w:t>
        <w:br/>
        <w:t>Adopts the following decision:</w:t>
        <w:br/>
        <w:t>I. The concerned companies and the operation</w:t>
        <w:br/>
        <w:t>1. The Perrigault group (hereinafter, "Perrigault") is composed of a set of companies controlled by the Bekaert family. It is structured around two main branches: one branch dedicated to operational activities, notably the operation of terminals at the port of Le Havre, through the company Perrigault SA, and a branch dedicated to investment activities, through the company Normandie Matériel Manutention SA (hereinafter, "NMM").</w:t>
        <w:br/>
        <w:t>2. Perrigault currently operates two of the "Port 2000" terminals at the port of Le Havre: the Porte Océane terminal and the Normandy terminal. The former is operated by companies wholly owned by Perrigault, notably Terminal Porte Océane SA (hereinafter, "TPO") and Société Équipement du Terminal Porte Océane (hereinafter, "SETPO"), a company that owns the port handling equipment used by TPO, while the company TNSMC, which operates the latter, is a joint venture equally owned by Perrigault and the company Terminal Investment Limited SARL (hereinafter, "TIL"). Perrigault also owns seven other companies that have activities related to port handling: Ateliers de Normandie ("AN"), Portiques de Normandie Assistance ("PNA"), Terminal de Normandie ("TN"), Dockers de Normandie ("DN"), Daumas Autheman et Associés SARL ("D2A"), Roussel SAS ("Roussel"), and Océangrais Manutention SARL ("Océangrais").</w:t>
        <w:br/>
        <w:t>3. The company TIL is a container port handling company that develops and operates container terminals in ports around the world. The operation of the terminals is often carried out through joint ventures with other terminal operators. TIL is a wholly owned subsidiary of Terminal Investment Limited Holding SA (hereinafter, "TIL Holding"), a Luxembourg holding company of the TIL group. TIL Holding is indirectly jointly controlled by MSC Mediterranean Shipping Company Holding SA (hereinafter "MSC"), at […] %, and by certain investment funds managed by Global Infrastructure Management (the so-called GIP I and GIP II funds), at […] %.</w:t>
        <w:br/>
        <w:t>4. The notified operation consists of the transfer to TIL, by Perrigault, of 50% of the shares of the capital of the companies TPO, SETPO, and the seven related companies ([confidential]). Thus, these nine companies will transition from exclusive control by Perrigault to joint control, direct or indirect.</w:t>
        <w:br/>
        <w:t>5. The notifying parties indicated to the Authority that if MSC, the main shareholder of TIL, were to represent a significant share of TPO's handling activity, TPO would not be at the exclusive service of MSC and that the commercial relations between TPO and MSC would be conducted on market conditions, identical to those offered to third-party shipping companies. Under these conditions, the Authority considers that part of the targets of the operation will remain fully operational companies.</w:t>
        <w:br/>
        <w:t>6. The operation concerning the nine companies therefore constitutes a concentration operation within the meaning of Article L. 430-1 of the Commercial Code. It also constitutes a unique concentration within the meaning of recital 20 of Council Regulation (EC) No. 139/2004 of January 20, 2004, concerning the control of concentrations between undertakings.</w:t>
        <w:br/>
        <w:t>7. The concerned companies together generate a total worldwide turnover excluding taxes of more than 150 million euros (Perrigault, […] euros for the fiscal year ending December 31, 2016; TIL, […] euros for the fiscal year ending December 31, 2016). Each of them has generated, in France, a turnover exceeding 50 million euros (Perrigault, […] euros; TIL, […] euros).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8. The parties to the concentration, as well as the companies they control or that control them, are active in the port handling market, in the maritime transport services market, and in other markets related to these activities. The market concerned by the targets of the operation is the market for container port handling services (A), which are the services provided by the Porte Océane terminal. The other activities of the target companies (employment of dockers, maintenance and repair of equipment, IT, intra-port transport related to container handling) are carried out on behalf of other Perrigault companies engaged in port handling and in support of the latter, these companies are therefore not active in other markets. Regarding the markets where the companies controlled or controlling the parties are active, only the maritime transport services market (B), where TIL's parent company, MSC, operates, is concerned by the operation. The activities of Perrigault, TIL, MSC, the GIP funds, or other companies controlled by TIL, outside of these two markets, do not appear to be concerned by the operation.</w:t>
        <w:br/>
        <w:t>A. THE MARKETS FOR CONTAINER PORT HANDLING SERVICES</w:t>
        <w:br/>
        <w:t>1. DEFINITION OF THE PRODUCT MARKET</w:t>
        <w:br/>
        <w:t>9. Maritime transport of goods by containers has developed since the 1950s. It is now the most common mode of maritime transport for consumer goods or industrial products. Containers have the advantage of being able to transfer from ship to a land or river transport mode, by train, barge, or truck, without handling the goods. Container port terminals, such as the one involved in the operation, serve as an interface between maritime transport networks and inland transport networks. Container handling services mainly consist of unloading and storing containers, then reloading them onto another ship or a means of transport to the hinterland (train, barge, truck). These services are varied (stuffing and stripping, warehousing, loading and unloading, repair, etc.).</w:t>
        <w:br/>
        <w:t>10. The decision-making practice of the Authority distinguishes container port handling services from port handling services for goods that are not in containers, as these services do not require the same infrastructures. Within container port handling, only at issue here, the decision-making practice, while leaving open the question of the exact definition of relevant markets, has considered the distinction between handling related to transport to or from the port's hinterland and handling consisting of the transshipment of containers from one ship to another, with a view to redirecting the containers to other ports. These two types of service are not substitutable, as the transshipment of containers does not require a connection with the hinterland.</w:t>
        <w:br/>
        <w:t>11. The decision-making practice of the European Commission is similar.</w:t>
      </w:r>
    </w:p>
    <w:p>
      <w:r>
        <w:rPr>
          <w:b/>
        </w:rPr>
        <w:t>[Pages 4–6]</w:t>
      </w:r>
    </w:p>
    <w:p>
      <w:r>
        <w:t>2. GEOGRAPHICAL DEFINITION OF MARKETS</w:t>
        <w:br/>
        <w:t>12. Regarding the relevant market for container handling services related to the hinterland, the decision-making practice of the Authority holds that all ports of the Northern European arc, from the port of Hamburg to the port of Le Havre, are in competition. Ports, even those nearby, in the United Kingdom obviously do not offer a substitutable service, as they are not connected to the same hinterland. The practice of the European Commission has also considered this geographical scope in certain decisions; however, its decisions, particularly the most recent ones, contemplate a narrower geographical definition of this market. The market could be limited to the ports from Le Havre to Antwerp or Amsterdam for the southern part, the northern ports, particularly German ones, serving a hinterland that is difficult to reach at competitive prices from Le Havre. In a recent decision No. M. 8459 of July 31, 2017, TIL / PSA / PSA DGD, concerning TIL's acquisition of control over a terminal in Antwerp, the European Commission presented the various hypotheses of geographical dimension of this market and, without resolving the issue, deemed it likely that there would be a geographical extension of the market from Le Havre to Hamburg. In any case, it is not necessary in this instance to rule on the exact geographical delimitation of this market for services, as the Authority has sufficient elements to estimate that the operation will not harm competition in this market, regardless of the delimitation adopted.</w:t>
        <w:br/>
        <w:t>13. Regarding container transshipment services, the geographical scope of ports offering substitutable services is broader. In its aforementioned decision No. 10-D-13 of April 15, 2010, the Authority retained the Northern European arc for the market of container port handling services, including for transshipment. However, a decision C2006-49 by the Minister responsible for the economy on May 10, 2006, had retained a broader geographical definition of this market, extending from the ports of Gothenburg to Le Havre, including British and Irish ports. The European Commission also considers that the geographical scope of this market is broader, even if the exact delimitation may have varied according to the cases. In any case, it is not necessary in this instance to rule on the exact geographical delimitation of this market for services, as, regardless of the delimitation adopted, the conclusions of the competitive analysis remain unchanged.</w:t>
        <w:br/>
        <w:t>B. MARKETS FOR REGULAR MARITIME TRANSPORT SERVICES BY CONTAINER</w:t>
        <w:br/>
        <w:t>1. DEFINITION OF THE PRODUCT MARKET</w:t>
        <w:br/>
        <w:t>14. The Competition Authority distinguishes the market for regular maritime transport by container: the service offered is considered distinct from non-regular maritime transport services and bulk cargo maritime transport services. The practice of the European Commission is similar. The European Commission sometimes distinguishes, within this service market, a segmentation based on whether the containers are refrigerated or not. In this case, the markets for regular maritime transport by container are examined only due to the vertical effect of the concentration, which concerns a container port terminal, on these markets. However, the parties indicate that all container port terminals in the geographical area considered can accommodate both refrigerated and non-refrigerated containers. In this case, this segmentation does not appear relevant for assessing the effects of the operation.</w:t>
        <w:br/>
        <w:t>2. GEOGRAPHICAL DEFINITION OF MARKETS</w:t>
        <w:br/>
        <w:t>15. The decision-making practice, both national and European, holds that a market for regular maritime transport services is defined by route. A route connects two geographical areas, with the different journeys linking these two areas being substitutable. Generally, there is no need to segment according to the direction of the journey. The Authority has considered that in Europe, the "Northern Europe" area should be distinguished from Southern Europe. In a recent decision No. M. 8459 of July 31, 2017, TIL / PSA / PSA DGD, concerning the same MSC group, the European Commission estimated, without resolving the definition of the relevant markets in this instance, that eleven routes could be distinguished, in line with its previous decision-making practice: these are the routes between Northern Europe and the areas of Australia/New Zealand, West Africa, South Africa, East Africa, the Caribbean and Central America, the Far East, the Indian Subcontinent, the Middle East, North America, the East Coast of South America, and the West Coast of South America. The same routes should be retained for the analysis of the effects of the present operation.</w:t>
        <w:br/>
        <w:t>III. Competitive Analysis</w:t>
        <w:br/>
        <w:t>16. The port of Le Havre is the second largest French port by tonnage and the largest container port in France. It has various terminals capable of handling all types of cargo. Following the "Port 2000" expansion project in the early 1990s, some operating agreements for the new terminals have already been awarded, including that of the Porte Océane terminal, while others have not yet been awarded.</w:t>
        <w:br/>
        <w:t>17. From 2012 to 2017, TPO primarily provided its container handling services to the carriers united in the G6 maritime alliance, created in December 2011. This alliance dissolved in April 2017, and another terminal was selected by the new consortium THE Alliance, composed mainly of former members of the G6 Alliance, to handle the majority of the services previously provided by TPO. In this context, the proposed operation aims to allow Perrigault to strengthen its clientele for the Porte Océane terminal, TIL to increase its container handling capacity, and its parent company MSC to enhance its flexibility and growth potential.</w:t>
        <w:br/>
        <w:t>18. The operation will produce horizontal effects, as both Perrigault and TIL are active in the container port handling services markets (A), and vertical effects on the related regular maritime transport markets for containers (B). No conglomerate effect of the operation has been identified.</w:t>
        <w:br/>
        <w:t>A. ANALYSIS OF HORIZONTAL EFFECTS</w:t>
        <w:br/>
        <w:t>19. Perrigault currently operates two container terminals in the port of Le Havre, the Porte Océane terminal and the Normandy terminal. TIL, in addition to the Normandy terminal, operates, through companies exclusively or jointly controlled, four other terminals in Northern Europe: three in the Hamburg-Le Havre area and one in the Baltic region, in Lithuania. There are no other activities in this sector by companies controlled by the parties or controlling the parties.</w:t>
        <w:br/>
        <w:t>20. Market shares have been calculated in volume based on the information provided by the parties. The available data to estimate the total volume of all ports in the geographical area considered do not distinguish between handling related to the hinterland and transshipment. The parties indicated that they calculated the distribution of activity volumes between these two services based on their market knowledge and experience. This results in uncertainty about the exact level of market shares in each of the two segments, but this does not undermine the conclusions of the competitive analysis, given the level of market shares, the low increment of market share resulting from the operation, and the market shares of the main competitors.</w:t>
        <w:br/>
        <w:t>21. In 2016, in the market for container port handling for transshipment, the market share of the Porte Océane Terminal was negligible (less than 0.1%). It should therefore be considered that this market will not be affected by the operation.</w:t>
        <w:br/>
        <w:t>22. In 2016, in the market for container port handling for traffic related to the hinterland, the market share of the Porte Océane Terminal in the Hamburg-Le Havre area is approximately [0-5]%. After the operation, TIL and TPO will benefit from a market share of [10-20]%, with the increment being very low. The Authority, based on the elements of the file, estimates that the operation is not likely to harm competition in this market, even in the event of a narrower delimitation. Indeed, in addition to the low increment, it should be noted that a number of significant competing operators are present in these markets: at least four companies have a market share greater than 10% in the market for container port handling (without distinguishing between hinterland traffic and transshipment).</w:t>
      </w:r>
    </w:p>
    <w:p>
      <w:r>
        <w:rPr>
          <w:b/>
        </w:rPr>
        <w:t>[Pages 7–9]</w:t>
      </w:r>
    </w:p>
    <w:p>
      <w:r>
        <w:t>transshipment). The ports in the Hamburg-Le Havre area also have unused available capacities. Furthermore, the clients of the parties are container shipping carriers, a sector in which significant players have bargaining power. Finally, it appears from the file that the terminal over which TIL is acquiring control has recently lost its main clients and will be largely, if not primarily, used by MSC. As a result, the calculation of the market share after the operation and the increment includes a captive volume of TPO's activity that does not correspond to market power, as noted by the European Commission in a similar case in its decision M. 8459 of July 31, 2017, already mentioned.</w:t>
      </w:r>
    </w:p>
    <w:p>
      <w:r>
        <w:t>23. The observations presented to the Authority emphasized that following the operation, TIL would control, through the TNMCS terminals (four berths) and TPO (two berths), six contiguous berths, which would constitute a significant advantage and would greatly strengthen its position in the port of Le Havre. No other competitor will physically, under the current state of the Port 2000 terminal concessions, be able to benefit from six contiguous berths in this port, as the two berths still unallocated are not in continuity with those currently operated by the main other concessionaire. However, since the relevant market is not limited to the port of Le Havre alone but includes other ports in Northern Europe, the terminals controlled by TIL will remain in competition not only with other container terminals in the port of Le Havre but also with those in other ports in the geographical area considered, whether for traffic with the hinterland or for transshipment.</w:t>
      </w:r>
    </w:p>
    <w:p>
      <w:r>
        <w:t>24. Some observers argued that the operation would prevent TPO, which has just lost the business of the former G6 maritime alliance, from having its terminal concession terminated by the port authority for insufficient activity volume. The operation would thus prevent a re-competition for the berths in question. However, on the one hand, the authorization of the operation by the Competition Authority has no impact on the unilateral termination rights that the port authority may have; on the other hand, the fact that the operation allows TPO to increase its activity after losing the business related to the former G6 alliance does not in itself raise a competition issue, as the investigation does not indicate that TIL's market share, increased by TPO's activity, will affect the container port handling markets.</w:t>
      </w:r>
    </w:p>
    <w:p>
      <w:r>
        <w:t>25. The operation is therefore not likely to harm competition through horizontal effects on the container port handling markets.</w:t>
      </w:r>
    </w:p>
    <w:p>
      <w:r>
        <w:t>B. ANALYSIS OF VERTICAL EFFECTS</w:t>
        <w:br/>
        <w:t>26. A vertical concentration can restrict competition by making access to the markets in which the new entity will be active more difficult, or even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27. However, decision-making practice generally considers that a risk of vertical effect can be ruled out as long as the market share of the company resulting from the operation in the relevant markets does not exceed 30%.</w:t>
      </w:r>
    </w:p>
    <w:p>
      <w:r>
        <w:t>28. Perrigault has no activity in the container shipping markets. In contrast, MSC Holding provides, through MSC, significant regular shipping services on the eleven identified routes. The market for container shipping services is linked to the markets for container port handling. Container handling is necessary to load the container onto a ship: the container handling service is therefore an input to the container shipping service, even though this handling service is also provided after maritime transport.</w:t>
      </w:r>
    </w:p>
    <w:p>
      <w:r>
        <w:t>29. The parties submitted estimates of market shares based on volume data (in TEU) from Container Trades Statistics Ltd.</w:t>
      </w:r>
    </w:p>
    <w:p>
      <w:r>
        <w:t>30. The parties believe that the analysis should be based solely on MSC's market shares. However, MSC is a member of operational cooperation agreements (consortium) with other carriers on several routes. Consortium agreements (or vessel sharing agreements, VSA) allow carriers to provide a common service, for which each member provides a certain capacity. Since 1995, the European Commission has established exemption regulations for these consortium agreements. Its decision-making practice consists of assessing a carrier's market share by taking into account the services provided by the consortium(s) to which it belongs. The methodology proposed for calculating these market shares, incorporating participation in consortium agreements, was outlined in the aforementioned European Commission decision M. 7268.</w:t>
      </w:r>
    </w:p>
    <w:p>
      <w:r>
        <w:t>31. The parties argue that there is no need to consider MSC's participation in consortiums to assess its market shares, as it is only a matter of determining the possibility of lock-in by inputs or by customers for a market vertically linked to the market of the operation. They particularly emphasize that MSC remains an independent operator, that it negotiates individually within the consortiums, and that price negotiations with port handling companies are conducted by each carrier, without being influenced by membership in a consortium. However, the parties provided estimates of market shares that include consortium activity. In any case, the conclusions of the competitive analysis remain unchanged, even if consortium activity is included.</w:t>
      </w:r>
    </w:p>
    <w:p>
      <w:r>
        <w:t>32. If we consider the market shares of MSC alone, the 30% threshold is exceeded on only one route, the North Europe – South Africa route, where the calculated market share is [40-50]%. When taking into account the consortium agreements, this market share rises to [40-50]%. Furthermore, the market share then exceeds 30% on three other routes: the North Europe – Indian Subcontinent route ([40-50] %); the North Europe – North America route ([50-60] % while MSC alone reaches [20-30] %); and the North Europe – East Coast of South America route ([30-40] %).</w:t>
      </w:r>
    </w:p>
    <w:p>
      <w:r>
        <w:t>33. However, the Authority believes that there is no risk of market lock-in.</w:t>
      </w:r>
    </w:p>
    <w:p>
      <w:r>
        <w:t>34. It is first necessary to recall the low increment of the proposed operation.</w:t>
      </w:r>
    </w:p>
    <w:p>
      <w:r>
        <w:t>35. Regarding lock-in by inputs (the container port handling services provided by the terminals), it seems unlikely since, in the context recalled above, the Porte Océane terminal needs to find new outlets. If it were to provide the majority of its services to MSC, other carriers would still have many terminals available for their ships, as each terminal in the area can offer its services to vessels on all routes. Moreover, there are capacities for developing new terminals for new entrants in the areas considered.</w:t>
      </w:r>
    </w:p>
    <w:p>
      <w:r>
        <w:t>36. Regarding the lock-in of access to customers, it would consist of depriving other terminals of MSC's orders. For the analysis of this risk, it does not seem relevant to reason route by route since a terminal in Northern Europe can offer its services to carriers on all routes connecting Northern Europe. However, MSC and the consortiums to which it belongs have market shares below 30%, and sometimes below 20%, on all other routes than those that have been reported. The parties are therefore not in a position to lock in the upstream market customers, especially since some of MSC's competitors are other significant carriers with bargaining power.</w:t>
      </w:r>
    </w:p>
    <w:p>
      <w:r>
        <w:t>37. The operation is therefore not likely to harm competition through vertical effects.</w:t>
      </w:r>
    </w:p>
    <w:p>
      <w:r>
        <w:t>DECIDES</w:t>
        <w:br/>
        <w:t>Sole Article: The operation notified under number 17-220 is authorized.</w:t>
        <w:b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