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https://www.autoritedelaconcurrence.fr/fr/decision-de-controle-des-concentrations/relative-au-rapprochement-de-lunion-nationale-mutualia-et</w:t>
      </w:r>
    </w:p>
    <w:p>
      <w:r>
        <w:t>Pages translated : 7</w:t>
      </w:r>
    </w:p>
    <w:p/>
    <w:p>
      <w:r>
        <w:rPr>
          <w:b/>
        </w:rPr>
        <w:t>[Pages 1–3]</w:t>
      </w:r>
    </w:p>
    <w:p>
      <w:r>
        <w:t xml:space="preserve">FRENCH REPUBLIC  </w:t>
        <w:br/>
        <w:t xml:space="preserve">Decision No. 13-DCC-114 of September 3, 2013  </w:t>
        <w:br/>
        <w:t xml:space="preserve">regarding the merger of the National Mutual Union and 8 mutual societies (Mutualia Avenir Prévoyance, Mutualia Alsace Grand Est, Mutualia Grand Ouest, Mutualia Nord de France, Mutualia Santé Atlantique, Mutualia Sud Ouest, Mutualia Santé Prévoyance, and Mutualia Santé Sud Est)  </w:t>
        <w:br/>
        <w:t xml:space="preserve">The Competition Authority,  </w:t>
        <w:br/>
        <w:t xml:space="preserve">Having regard to the notification file submitted in full to the concentrations service on July 30, 2013, regarding the merger of the mutual union National Mutual Union and the eight mutual societies Mutualia Avenir Prévoyance, Mutualia Alsace Grand Est, Mutualia Grand Ouest, Mutualia Nord de France, Mutualia Santé Atlantique, Mutualia Sud Ouest, Mutualia Santé Prévoyance, and Mutualia Santé Sud Est, formalized by a draft affiliation agreement dated November 27, 2012, and by the various minutes of the general assemblies of the mutual union and the aforementioned eight mutual societies, approving the draft affiliation agreement;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The National Mutual Union (hereinafter "UNM") is a union of mutual societies governed by the provisions of Book II of the Code of Mutuality. Its members are the mutual societies Mutualia Avenir Prévoyance, Mutualia Alsace Grand Est, Mutualia Grand Ouest, Mutualia Nord de France, Mutualia Santé Atlantique, Mutualia Sud Ouest, Mutualia Santé Prévoyance, and Mutualia Santé Sud Est. The UNM is subject to the fluctuating control of its members and its main activity is the representation of its members with national public or private partners, as well as the provision to them of technical assistance and reinsurance services. The UNM is also the holder of the Mutualia trademark, which its members are required to use.  </w:t>
        <w:br/>
        <w:t xml:space="preserve">2. The mutual society Mutualia Avenir Prévoyance (hereinafter "MAP") is primarily active in the field of risk coverage related to accidents (branch 1), illness (branch 2), death (branch 20), and marriage-birth (branch 21).  </w:t>
        <w:br/>
        <w:t xml:space="preserve">3. The mutual society Mutualia Alsace Grand Est (hereinafter "MAGE") is primarily active in Alsace, Burgundy, Champagne-Ardenne, Franche-Comté, and Lorraine, in the field of risk coverage related to accidents (branch 1), illness (branch 2), and death (branch 20). MAGE is also active in the sector of distributing insurance products on behalf of third parties.  </w:t>
        <w:br/>
        <w:t xml:space="preserve">4. The mutual society Mutualia Grand Ouest (hereinafter "MGO") is primarily active in the regions of Brittany, Normandy, Pays-de-Loire, and Centre, in the field of risk coverage related to accidents (branch 1), illness (branch 2), death (branch 20), and marriage-birth (branch 21). MGO is also active in the sector of distributing insurance products on behalf of third parties.  </w:t>
        <w:br/>
        <w:t xml:space="preserve">5. The mutual society Mutualia Nord de France (hereinafter "MNDF") is primarily active in the regions of Nord - Pas de Calais and Picardy, in the field of risk coverage related to accidents (branch 1) and illness (branch 2). MNDF is also active in the sector of distributing insurance products on behalf of third parties.  </w:t>
        <w:br/>
        <w:t xml:space="preserve">6. The mutual society Mutualia Santé Atlantique (hereinafter "MSAT") is primarily active in the regions of Poitou-Charentes and Limousin, in the field of risk coverage related to accidents (branch 1), illness (branch 2), and death (branch 20). MSAT is also active in the sector of distributing insurance products on behalf of third parties.  </w:t>
        <w:br/>
        <w:t xml:space="preserve">7. The mutual society Mutualia Sud Ouest (hereinafter "MSO") is primarily active in the regions of Poitou-Charentes, Aquitaine, and Midi-Pyrénées, in the field of risk coverage related to accidents (branch 1) and illness (branch 2). MSO is also active in the sector of distributing insurance products on behalf of third parties.  </w:t>
        <w:br/>
        <w:t xml:space="preserve">8. The mutual society Mutualia Santé Prévoyance (hereinafter "MSP") is primarily active in the regions of Languedoc-Roussillon, Provence-Alpes-Côte d’Azur, Auvergne, and Rhône-Alpes, in the field of risk coverage related to accidents (branch 1) and illness (branch 2). MSP is also active in the sector of distributing insurance products on behalf of third parties.  </w:t>
        <w:br/>
        <w:t xml:space="preserve">9. The mutual society Mutualia Santé Sud Est (hereinafter "MSSE") is primarily active in the regions of Rhône Alpes and Provence–Alpes–Côte d’Azur, in the field of risk coverage related to accidents (branch 1), illness (branch 2), and death (branch 20). MSSE is also active in the sector of distributing insurance products on behalf of third parties.  </w:t>
        <w:br/>
        <w:t xml:space="preserve">10. Each of these eight mutual societies is governed by the provisions of the Code of Mutuality and in particular its Book II.  </w:t>
        <w:br/>
        <w:t xml:space="preserve">1 See the provisions of Article 7 of the statutes of the UNM.  </w:t>
        <w:br/>
        <w:t>2</w:t>
      </w:r>
    </w:p>
    <w:p>
      <w:r>
        <w:t xml:space="preserve">B. THE OPERATION  </w:t>
        <w:br/>
        <w:t xml:space="preserve">11. The parties to the operation wish to develop the Mutualia movement, currently composed of the UNM and eight mutual societies that operate independently, into a group as defined by the provisions of Article L. 212-7 of the Code of Mutuality. This group will consist of the UNM and the eight affiliated mutual societies (MAP, MAGE, MGO, MNDF, MSAT, MSO, MSP, and MSSE). This operation will be carried out by the signing of an affiliation agreement by the UNM and each of the eight affiliated mutual societies. The draft affiliation agreement dated November 27, 2012, was approved by the general assembly of the UNM on December 19, 2012, and by each of the affiliated mutual societies.  </w:t>
        <w:br/>
        <w:t xml:space="preserve">12. The draft affiliation agreement strengthens the ties that previously existed between the UNM and its members. It expressly provides that the UNM and the eight member mutual societies have the intention of creating a group as defined by Article L. 212-7 of the Code of Mutuality. Combined accounts will be formalized by the UNM for the Mutualia group. The UNM will solely determine the political and strategic orientations of the group and the territorial sharing rules, which must be applied by the affiliated mutual societies. Furthermore, the UNM will be solely competent to seek and conclude partnerships with other mutual societies. In addition, a financial assistance mechanism will be established by the UNM for the benefit of the affiliated mutual societies. It differs from a financial solidarity mechanism in that the UNM has the capacity to decide on the implementation of this assistance mechanism and that "the assistance mechanism is not intended to substitute the UNM for an affiliated mutual society in the event of the latter's failure to pay its benefits to its participating members." Finally, the UNM will be solely competent to ensure the financing of its activity as the apex entity of the group and to manage the Mutualia brand.  </w:t>
        <w:br/>
        <w:t xml:space="preserve">13. It follows from these elements that the operation leading to the creation of the Mutualia group resembles the creation of a common economic unit, subject to a single and sustainable economic management, within the meaning of paragraph 27 of the guidelines of the Authority.  </w:t>
        <w:br/>
        <w:t xml:space="preserve">2 The provisions of Article L. 212-7 of the Code of Mutuality provide that "Mutual societies or unions that form between themselves or with provident institutions (...), a set corresponding to one of the following cases: 1° These organizations have either a common management, or sufficiently extensive common services to generate a common commercial, technical, or financial policy; 2° These organizations have significant and durable reinsurance links between them; 3° These organizations hold directly or indirectly a fraction of the capital of one or more companies governed by the Insurance Code allowing them to participate in their control."  </w:t>
        <w:br/>
        <w:t xml:space="preserve">II.- Mutual societies and unions belonging to a group within the meaning of 3° of I above establish and publish consolidated accounts under the conditions defined by a regulation of the Accounting Standards Authority.  </w:t>
        <w:br/>
        <w:t xml:space="preserve">3 The draft affiliation agreement was approved by the General Assemblies of MAP (on December 18, 2012), MAGE (on December 14, 2012), MGO (on November 23, 2012), MNDF (on December 13, 2012), MSAT (on December 14, 2012), MSO (on December 5, 2012), MSP (on December 14, 2012), and MSSE (on December 13, 2012).  </w:t>
        <w:br/>
        <w:t xml:space="preserve">4 In particular, the representation function exercised by the UNM on behalf of its members, reinsurance treaties concluded between the UNM and its members.  </w:t>
        <w:br/>
        <w:t xml:space="preserve">5 See page 5 and Article XIII of the draft affiliation agreement.  </w:t>
        <w:br/>
        <w:t xml:space="preserve">6 See Article V.17 and Article XIII of the draft affiliation agreement.  </w:t>
        <w:br/>
        <w:t xml:space="preserve">7 See Articles III.5 and III.10 of the draft affiliation agreement.  </w:t>
        <w:br/>
        <w:t xml:space="preserve">8 See Article III.3 of the draft affiliation agreement.  </w:t>
        <w:br/>
        <w:t xml:space="preserve">9 See Article IV.1 and IX of the draft affiliation agreement.  </w:t>
        <w:br/>
        <w:t xml:space="preserve">10 See Article III.6 of the draft affiliation agreement.  </w:t>
        <w:br/>
        <w:t xml:space="preserve">11 See Article V.18 of the draft affiliation agreement.  </w:t>
        <w:br/>
        <w:t xml:space="preserve">12 See Article III.1 and V.5 of the draft affiliation agreement.  </w:t>
        <w:br/>
        <w:t>13 See Article III.2 of the draft affiliation agreement.</w:t>
      </w:r>
    </w:p>
    <w:p>
      <w:r>
        <w:rPr>
          <w:b/>
        </w:rPr>
        <w:t>[Pages 4–6]</w:t>
      </w:r>
    </w:p>
    <w:p>
      <w:r>
        <w:t>of competition concerning the control of concentrations which specify that "de facto mergers are subject to the control of concentrations just like de jure mergers, as soon as they lead to the combination of activities of previously independent companies within a single and same economic entity. The existence of a single and sustainable economic management is a necessary condition to determine if such a concentration is present. To determine this, the Authority considers all legal and factual circumstances that allow the qualification of the operation."</w:t>
      </w:r>
    </w:p>
    <w:p>
      <w:r>
        <w:t>14. In view of these elements, and in accordance with decision-making practice, the merger of UNM and the mutuals MAP, MAGE, MGO, MNDF, MSAT, MSO, MSP, and MSSE is analyzed as a de facto merger of previously independent entities. Consequently, the present operation constitutes a concentration within the meaning of Article L. 430-1 of the Commercial Code.</w:t>
      </w:r>
    </w:p>
    <w:p>
      <w:r>
        <w:t>15. The companies concerned together achieve a total turnover excluding taxes on a global scale of more than 150 million euros (UNM: […] euros for the fiscal year ending December 31, 2012; MAP: […] euros for the same fiscal year; MAGE: […] euros; MGO: […] euros; MNDF: […] euros; MSAT: […] euros; MSO: […] euros; MSP: […] euros and MSSE: […] euros). At least two of these companies have achieved a turnover in France exceeding 50 million euros (MGO: […] euros for the fiscal year ending December 31, 2012 and MSSE: […] euros for the same fiscal year). Given these turnover figures,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w:t>
      </w:r>
    </w:p>
    <w:p>
      <w:r>
        <w:t>II. Definition of Relevant Markets</w:t>
      </w:r>
    </w:p>
    <w:p>
      <w:r>
        <w:t>16. The parties to the operation are simultaneously active in the insurance sector.</w:t>
      </w:r>
    </w:p>
    <w:p>
      <w:r>
        <w:t>17. In this sector, national and European competition authorities distinguish between the markets for personal insurance, property insurance, and reinsurance. Regarding the first two categories of products, the competition authorities have estimated that they can be segmented into as many markets as there are insurances covering different types of risks, insofar as, from the demand perspective, insurances covering these different risks are not substitutable.</w:t>
      </w:r>
    </w:p>
    <w:p>
      <w:r>
        <w:t>18. In this case, the parties to the operation are simultaneously active in the personal insurance sector, in the markets for complementary health insurance and in the markets for provident insurance, as well as in the market for insurance distribution on behalf of third parties.</w:t>
      </w:r>
    </w:p>
    <w:p>
      <w:r>
        <w:t>A. MARKETS FOR PERSONAL INSURANCE PRODUCTS</w:t>
      </w:r>
    </w:p>
    <w:p>
      <w:r>
        <w:t>19. Regarding the market for personal insurance, decision-making practice has considered that further segmentation can be made between collective insurance contracts, concluded between an insurer and a subscriber distinct from the beneficiary, and individual insurance contracts where the subscriber is also the beneficiary.</w:t>
      </w:r>
    </w:p>
    <w:p>
      <w:r>
        <w:t>20. In this case, the mutuals MAGE, MGO, MNDF, MSAT, MSO, MSP, and MSSE are simultaneously active in the markets for individual and collective complementary health insurance, and the mutuals MAP, MAGE, MGO, MSAT, and MSSE are simultaneously active in the markets for individual and collective provident insurance.</w:t>
      </w:r>
    </w:p>
    <w:p>
      <w:r>
        <w:t>21. The exact definition of each of the markets examined in this decision can be left open, as the conclusions of the competitive analysis will remain unchanged regardless of the segmentations retained.</w:t>
      </w:r>
    </w:p>
    <w:p>
      <w:r>
        <w:t>22. Regarding the geographical delimitation of the markets, with the exception of certain insurances covering large-scale risks, decision-making practice has considered that the markets for insurance products are of national dimension given consumer preferences, the current structure of these markets, the existence of legislation, sectoral regulatory systems, and national tax constraints.</w:t>
      </w:r>
    </w:p>
    <w:p>
      <w:r>
        <w:t>23. There is no need to challenge these delimitations in the context of the present operation.</w:t>
      </w:r>
    </w:p>
    <w:p>
      <w:r>
        <w:t>B. MARKETS FOR THE DISTRIBUTION OF INSURANCE PRODUCTS ON BEHALF OF THIRD PARTIES</w:t>
      </w:r>
    </w:p>
    <w:p>
      <w:r>
        <w:t>24. The distribution of insurance products consists of marketing and ensuring the administrative management of guarantees or insurance contracts whose risk is borne by third-party insurers. Competition authorities, both European and national, have left the question of the precise delimitation of the markets in this sector open, with several segmentations being considered.</w:t>
      </w:r>
    </w:p>
    <w:p>
      <w:r>
        <w:t>25. A broad market for the distribution of insurance products by independent intermediaries, including all distribution channels (agents, brokers, and other intermediaries such as banks), except for direct distribution by insurance companies, has thus been identified by decision-making practice. A market limited to insurance brokerage and including only this distribution channel has also been considered.</w:t>
      </w:r>
    </w:p>
    <w:p>
      <w:r>
        <w:t>26. The markets for the distribution of insurance products can also be segmented based on the category of insured risks (property insurance and personal insurance) and according to the clientele (businesses or individuals).</w:t>
      </w:r>
    </w:p>
    <w:p>
      <w:r>
        <w:t>27. In this case, several parties to the operation are simultaneously active in the markets for the distribution on behalf of third parties of provident guarantees. The provident market includes insurance products intended to cover beneficiaries against a loss of income in the event of an accident, death, long illness, disability, incapacity, or job loss through the payment of compensation in the form of a capital sum or annuity. The risk covered is that of an unpredictable loss of income suffered by the beneficiary or their rights holders. This may involve either collective insurance contracts or individual insurance contracts.</w:t>
      </w:r>
    </w:p>
    <w:p>
      <w:r>
        <w:t>28. Regarding their geographical delimitation, the markets for the distribution of insurance products on behalf of third parties have been considered essentially as being of national dimension.</w:t>
      </w:r>
    </w:p>
    <w:p>
      <w:r>
        <w:t>29. The question of the exact delimitation of the markets for the distribution of insurance products can be left open insofar as, regardless of the delimitation retained, the conclusions of the competitive analysis remain unchanged.</w:t>
      </w:r>
    </w:p>
    <w:p>
      <w:r>
        <w:t>III. Competitive Analysis</w:t>
      </w:r>
    </w:p>
    <w:p>
      <w:r>
        <w:t>A. MARKETS FOR PERSONAL INSURANCE PRODUCTS</w:t>
      </w:r>
    </w:p>
    <w:p>
      <w:r>
        <w:t>30. The market shares of the parties in the markets where their activities overlap are reproduced in the table below:</w:t>
      </w:r>
    </w:p>
    <w:p>
      <w:r>
        <w:rPr>
          <w:b/>
        </w:rPr>
        <w:t>[Pages 7–7]</w:t>
      </w:r>
    </w:p>
    <w:p>
      <w:r>
        <w:t xml:space="preserve">New  </w:t>
        <w:br/>
        <w:t xml:space="preserve">Markets – 2012 (value) MAP MAGE MGO MNDF MSAT MSO MSP MSSE  </w:t>
        <w:br/>
        <w:t xml:space="preserve">entity  </w:t>
        <w:br/>
        <w:t xml:space="preserve">Contracts  </w:t>
        <w:br/>
        <w:t xml:space="preserve">N/A [0-5]% [0-5]% [0-5]% [0-5]% [0-5]% [0-5]% [0-5]% [0-5]%  </w:t>
        <w:br/>
        <w:t xml:space="preserve">Individual complementary health  </w:t>
        <w:br/>
        <w:t xml:space="preserve">Contracts  </w:t>
        <w:br/>
        <w:t xml:space="preserve">N/A [0-5]% [0-5]% [0-5]% [0-5]% [0-5]% [0-5]% [0-5]% [0-5]%  </w:t>
        <w:br/>
        <w:t xml:space="preserve">Collective  </w:t>
        <w:br/>
        <w:t xml:space="preserve">Contracts  </w:t>
        <w:br/>
        <w:t xml:space="preserve">[0-5]% [0-5]% N/A N/A [0-5]% N/A N/A [0-5]% [0-5]%  </w:t>
        <w:br/>
        <w:t xml:space="preserve">Individual  </w:t>
        <w:br/>
        <w:t xml:space="preserve">Prevention  </w:t>
        <w:br/>
        <w:t xml:space="preserve">Contracts  </w:t>
        <w:br/>
        <w:t xml:space="preserve">[0-5]% N/A [0-5]% N/A [0-5]% N/A N/A N/A [0-5]%  </w:t>
        <w:br/>
        <w:t xml:space="preserve">Collective  </w:t>
        <w:br/>
        <w:t xml:space="preserve">31. In the two markets of complementary health insurance, following the operation, the Mutualia group will continue to face competition from powerful operators such as Malakoff-Médéric, Axa, Harmonie Mutuelles, Humanis, or AG2R for collective contracts, and such as MGEN, Groupama, Harmonies Mutuelles, Covéa, and Swiss Life for individual contracts.  </w:t>
        <w:br/>
        <w:t xml:space="preserve">32. In the prevention markets, the parties are also confronted with competition from significant competitors such as Axa, Malakoff-Médéric, Groupama, Allianz, or AG2R.  </w:t>
        <w:br/>
        <w:t xml:space="preserve">33. The operation is therefore not likely to harm competition in the personal insurance markets.  </w:t>
        <w:br/>
        <w:t xml:space="preserve">B. THE MARKETS FOR THE DISTRIBUTION OF INSURANCE PRODUCTS ON BEHALF OF THIRD PARTIES  </w:t>
        <w:br/>
        <w:t xml:space="preserve">34. The distribution of insurance products on behalf of third parties represents a marginal part of the activity of the companies involved in the operation.  </w:t>
        <w:br/>
        <w:t xml:space="preserve">35. Their cumulative market share in the market for the distribution on behalf of third parties of prevention products is less than [0-5]%.  </w:t>
        <w:br/>
        <w:t xml:space="preserve">36. Consequently, the operation will not harm competition in the markets for the distribution of insurance products on behalf of third parties.  </w:t>
        <w:br/>
        <w:t xml:space="preserve">DECIDES  </w:t>
        <w:br/>
        <w:t xml:space="preserve">Single Article: The operation notified under number 13-084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