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https://www.autoritedelaconcurrence.fr/fr/decision-de-controle-des-concentrations/relative-au-rapprochement-de-trois-bailleurs-sociaux-actifs</w:t>
      </w:r>
    </w:p>
    <w:p>
      <w:r>
        <w:t>Pages translated : 11</w:t>
      </w:r>
    </w:p>
    <w:p/>
    <w:p>
      <w:r>
        <w:rPr>
          <w:b/>
        </w:rPr>
        <w:t>[Pages 1–3]</w:t>
      </w:r>
    </w:p>
    <w:p>
      <w:r>
        <w:t xml:space="preserve">FRENCH REPUBLIC  </w:t>
        <w:br/>
        <w:t xml:space="preserve">Decision No. 20-DCC-88 of July 23, 2020  </w:t>
        <w:br/>
        <w:t xml:space="preserve">regarding the merger of three social landlords active in the  </w:t>
        <w:br/>
        <w:t xml:space="preserve">Hauts-de-France region  </w:t>
        <w:br/>
        <w:t xml:space="preserve">The Competition Authority,  </w:t>
        <w:br/>
        <w:t xml:space="preserve">Having regard to the notification file submitted in full to the concentrations service on June 25, 2020, regarding the grouping of the Habitat du Nord, Mon Abri – Logis Métropole, and Sambre Avesnois Immobilier groups, formalized by a shareholders' agreement dated November 18, 2019;  </w:t>
        <w:br/>
        <w:t xml:space="preserve">Having regard to Book IV of the Commercial Code relating to the freedom of prices and competition, and in particular its Articles L. 430-1 to L. 430-7;  </w:t>
        <w:br/>
        <w:t xml:space="preserve">Having regard to the other documents in the file;  </w:t>
        <w:br/>
        <w:t xml:space="preserve">Adopts the following decision:  </w:t>
        <w:br/>
        <w:t xml:space="preserve">I. The companies concerned and the operation  </w:t>
        <w:br/>
        <w:t xml:space="preserve">1. The Habitat du Nord group is composed of the public limited company of HLM Habitat du Nord, notably held by the association Un Toit Pour Vivre Autrement (hereinafter, "TPVA") at 51.80%. With a portfolio of 9,202 housing units, the public limited company of HLM Habitat du Nord operates as a social landlord in the Hauts-de-France region, particularly focusing on the Lille European Metropolis. The management of its real estate portfolio has an essentially social purpose as it aims for social home ownership, the management of individual or collective social rental housing, the management of housing adapted for disabilities or aging, and the management of accommodation facilities for elderly or disabled persons and emergency accommodation centers.  </w:t>
        <w:br/>
        <w:t xml:space="preserve">2. The Mon Abri-Logis Métropole group, whose parent company is LDEV, holds 54.53% of the cooperative company Mon Abri and 81.35% of the public limited company of HLM Logis Métropole. The Mon Abri – Logis Métropole group operates as a social landlord in the Hauts-de-France region. The HLM cooperative company Mon Abri carries out real estate development operations for social purposes, within the framework of social home ownership for individuals whose incomes are below regulatory thresholds. As for the company Logis Métropole, its portfolio, primarily located in the territory of the Lille European Metropolis, amounted to 7,324 social rental housing units as of December 31, 2018. The Mon Abri – Logis Métropole group also controls the company ATREO, active in the private real estate development sector.  </w:t>
        <w:br/>
        <w:t xml:space="preserve">3. The Sambre Avesnois Immobilier group (hereinafter "SAI") is a private group of general interest that includes public limited companies of HLM (L’Avesnoise and Promocil) and an HLM cooperative (Logis Sambre Avesnois). The SAI group implements public housing policies in consultation with local authorities, the State, and tenant representatives. The SAI group manages, rehabilitates, and develops social housing: collective residential buildings, social structures, individual housing complexes, and medico-social establishments. The public limited company of HLM l’Avesnoise and the public limited company of HLM Promocil manage a portfolio of more than 14,061 social rental housing units. The ADELA Association, the holding of the Sambre Avesnois Immobilier group, was created in January 1989 with the aim of guiding and developing housing policy in the Avesnes-sur-Helpe district, primarily to meet the housing needs of employees of local businesses.  </w:t>
        <w:br/>
        <w:t xml:space="preserve">4. The operation consists of the merger of these three independent social landlord groups operating in the Hauts-de-France region, initiated as part of their obligation to merge imposed by Law No. 2018-1021 of November 23, 2018, concerning the evolution of housing, planning, and digital technology, known as the "Elan" Law.  </w:t>
        <w:br/>
        <w:t xml:space="preserve">5. Insofar as it results in the joint control of Mon Abri by ADELA, TPVA, and LDEV on the one hand, and the control of l’Avesnoise by Mon Abri and ADELA on the other hand, the notified operation constitutes a concentration within the meaning of Article L. 430-1 of the Commercial Code.  </w:t>
        <w:br/>
        <w:t>6. The companies concerned together generate a total worldwide turnover of more than 150 million euros, entirely realized in France, and at least two of these companies generate a turnover exceeding 50 million euros in France.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7. The sector concerned by the operation is that of real estate services.  </w:t>
        <w:br/>
        <w:t xml:space="preserve">A. THE SERVICE MARKETS  </w:t>
        <w:br/>
        <w:t xml:space="preserve">8. National and European competition authorities have considered various segmentations in the real estate services sector according to (i) the recipients of the services (individuals or businesses), (ii) the pricing method (free residential real estate and social or intermediate assisted housing), (iii) the type of activity carried out in the premises (offices, commercial premises, and other activity premises), and (iv) the nature of the services or goods offered.  </w:t>
        <w:br/>
        <w:t xml:space="preserve">9. Regarding segmentation according to the nature of the services or goods offered, decision-making practice has considered, while leaving the question open, the distinction between:  </w:t>
        <w:br/>
        <w:t xml:space="preserve">− real estate development, which includes construction and sale activities of real estate;  </w:t>
        <w:br/>
        <w:t xml:space="preserve">− management of real estate assets for own account;  </w:t>
        <w:br/>
        <w:t xml:space="preserve">− management of real estate assets for third parties;  </w:t>
        <w:br/>
        <w:t xml:space="preserve">− administration of real estate, which covers the activities of managing properties on behalf of owners and can be segmented between rental management and property management;  </w:t>
        <w:br/>
        <w:t xml:space="preserve">− real estate appraisal;  </w:t>
        <w:br/>
        <w:t xml:space="preserve">− real estate consulting;  </w:t>
        <w:br/>
        <w:t xml:space="preserve">− intermediation in real estate transactions, within which a distinction can be made between the sale and rental of properties.  </w:t>
        <w:br/>
        <w:t xml:space="preserve">10. There is no need to challenge this market delimitation in the context of the present operation.  </w:t>
        <w:br/>
        <w:t xml:space="preserve">1 See in particular the decisions of the Competition Authority No. 19-DCC-204 of October 28, 2019, regarding the exclusive control of SEMADER by CDC Habitat, No. 17-DCC-181 of November 6, 2017, regarding five operations in the real estate sector in the overseas departments and regions, No. 17-DCC-09 of January 20, 2017, regarding the joint control of a real estate complex by the Caisse des dépôts et consignations and the Artea group, No. 16-DCC-02 of January 11, 2016, regarding the joint control of a real estate asset located in Marseille by the BPCE group and the Caisse des dépôts et consignations, No. 15-DCC-156 of December 7, 2015, regarding the joint control of a real estate asset for office use by Sogecap and Predica, No. 15-DCC-128 of September 21, 2015, regarding the joint control of a real estate asset located in Rennes by the BPCE group and the Caisse des dépôts et consignations, No. 14-DCC-46 of April 1, 2014, regarding the joint control of an industrial real estate asset in Moselle by Norges Bank and Prologis, No. 09-DCC-16 of June 22, 2009, regarding the merger between the Caisse d’Épargne and Banque Populaire groups, as well as the letter from the Minister of Economy, Industry and Employment C2008-79 of August 22, 2008, regarding a concentration in the real estate sector, BOCCRF No. 8 bis of October 23, 2008.  </w:t>
        <w:br/>
        <w:t xml:space="preserve">2 See the decisions of the European Commission COMP/M.2110 of September 25, 2000, Deutsche Bank / SEI / JV, IV/M.2825 of July 9, 2002, Fortis AG SA / Bernheim-Comofi, SA COMP/M.3370 of March 9, 2004, BNP Paribas/ARI.  </w:t>
        <w:br/>
        <w:t>3 Letter from the Minister of Economy, Finance and Industry C2005-126 of January 25, 2006, regarding a concentration in the real estate services sector.</w:t>
      </w:r>
    </w:p>
    <w:p>
      <w:r>
        <w:rPr>
          <w:b/>
        </w:rPr>
        <w:t>[Pages 4–6]</w:t>
      </w:r>
    </w:p>
    <w:p>
      <w:r>
        <w:t xml:space="preserve">B. THE GEOGRAPHIC MARKETS  </w:t>
        <w:br/>
        <w:t xml:space="preserve">11. According to the aforementioned decision-making practice, markets related to the real estate sector are generally local in scope, taking into account, in particular, the differences between regions and regional metropolises in terms of real estate prices and demand.  </w:t>
        <w:br/>
        <w:t xml:space="preserve">12. For regions outside Île-de-France, competition authorities have conducted their competitive analyses at the regional or sub-regional level. In its recent decisions, the Authority has examined the effects of operations at the level of urban areas. In this case, the activities of the parties mainly overlap in the Haut-de-France region, specifically in the Nord department.  </w:t>
        <w:br/>
        <w:t xml:space="preserve">13. The question of the exact delineation of the geographic markets concerned by the operation may however be left open insofar as the conclusions of the competitive analysis remain unchanged regardless of the segmentation adopted.  </w:t>
        <w:br/>
        <w:t xml:space="preserve">III. Competitive Analysis  </w:t>
        <w:br/>
        <w:t xml:space="preserve">14. The activities of the parties overlap in the markets for real estate services, primarily in the market for the management for own account of housing for social use in the Nord department.  </w:t>
        <w:br/>
        <w:t xml:space="preserve">15. In the markets (i) of real estate development of free residential properties and (ii) of housing for social use, (iii) of management for own account of residential properties (including social housing and free housing), (iv) of management for own account of offices, and (v) of commercial premises, the new entity will have market shares below 25% regardless of the geographic delineation adopted.  </w:t>
        <w:br/>
        <w:t xml:space="preserve">16. Given these limited market shares, the operation is not likely to harm competition through horizontal effects in these markets.  </w:t>
        <w:br/>
        <w:t xml:space="preserve">17. In the market for the management for own account of housing for social use in the Hauts-de-France region, the new entity will have a market share of 5% and 11% in the Nord department. The new entity will face seven main competitors, including two national operators.  </w:t>
        <w:br/>
        <w:t xml:space="preserve">18. In the narrower potential geographic markets of public inter-municipal cooperation establishments ("EPCI"), market shares will be below 11% except in the territory of the EPCI of the Communauté d’Agglomération de Maubeuge-Val-de-Sambre (hereinafter, "CAMVS") where the market share of the new entity will rise to 77% (11% for habitat du Nord and 66% for SAI, Logis Métropole not being present in this area).  </w:t>
        <w:br/>
        <w:t xml:space="preserve">19. The new entity will face competition from two other social landlords, namely Partenord which has 2,545 housing units (representing 18% market share in the territory of the CAMVS) and Habitat en Région, which has 440 housing units (representing 3% market share in the territory of the CAMVS) compared to 11,165 for the new entity.  </w:t>
        <w:br/>
        <w:t xml:space="preserve">20. Despite the significant market shares they will hold following the operation in this territory, the notifying parties believe that their position in this market will not be likely to generate unilateral effects and that this operation will therefore have no potential adverse effect on the social tenant given the price controls and the obligations to which it will be subject in terms of maintaining the quality of social housing.  </w:t>
        <w:br/>
        <w:t xml:space="preserve">Identification by the Competition Authority of the criteria for competitive analysis  </w:t>
        <w:br/>
        <w:t xml:space="preserve">21. In the context of the examination of the present operation, given the position of the new entity in the market for the ownership and management for own account of housing for social use in the territory of the CAMVS, the Competition Authority has deepened its analysis of the functioning of this market, relying on exchanges with the ministry responsible for housing and market tests conducted with competitors. After outlining the consequences of the application of the aforementioned Elan law on the social housing sector, the Authority will present its analysis of the consequences of the regulatory framework applicable to social housing organizations and the ability of social housing applicants to arbitrate on the competitive functioning of this market.  </w:t>
        <w:br/>
        <w:t xml:space="preserve">Consequences of the application of the provisions of the Elan law on the social housing sector  </w:t>
        <w:br/>
        <w:t xml:space="preserve">22. The aforementioned Elan law requires HLM organizations managing fewer than 12,000 housing units to belong to a group of social housing organizations, subject to certain exemptions, as of January 1, 2021. To this end, the public authorities sought to improve the structuring possibilities of the sector by facilitating the mergers of organizations.  </w:t>
        <w:br/>
        <w:t xml:space="preserve">23. Indeed, according to the parliamentary work on the Elan Law and the impact study that led to this bill, the investment capacity of small organizations is weaker, as they need to mobilize more financial resources to secure their daily operations, to the detriment of the renovation and development of the real estate stock. Furthermore, the increase in the size of HLM organizations allows them to more easily gather all skills, including the most specialized, for the benefit of the tenant.  </w:t>
        <w:br/>
        <w:t xml:space="preserve">24. Even though it has been acknowledged that beyond "a certain level, diseconomies of scale" and other coordination costs may arise, the observation that justified the adoption of the Elan law is that the larger the organizations, the greater the potential benefit of these mutualizations, both in terms of investments in the renovation and construction of housing and in terms of pooling skills. As it seems appropriate to achieve the general interest objectives pursued by consolidation and as it has consensus with several federations of organizations, the threshold of 12,000 housing units has been retained.  </w:t>
        <w:br/>
        <w:t xml:space="preserve">25. In this case, it is to achieve this critical size and benefit from the advantages of this pooling of resources that the present operation was initiated.  </w:t>
        <w:br/>
        <w:t xml:space="preserve">On the regulatory framework applicable to social housing organizations  </w:t>
        <w:br/>
        <w:t xml:space="preserve">26. In order to assess the effects of the operation on the market for the ownership and management for own account of housing for social use in the territory of the CAMVS, it is first necessary to analyze the argument of the notifying parties according to which, given the price controls and the obligations to which it will be subject in terms of maintaining the quality of social housing, the strengthening of the position of the new entity in this area is not likely to raise competition concerns.  </w:t>
        <w:br/>
        <w:t xml:space="preserve">27. Regarding, in the first place, the choice of the social housing allocator, social landlords are subject to specific rules. The allocation must benefit households under resource conditions, in accordance with Articles L. 441-1 and following as well as Articles R. 441-1 and following of the Construction and Housing Code.  </w:t>
        <w:br/>
        <w:t xml:space="preserve">28. First, allocations are made based on the analysis of the social housing application files of candidates, recorded in the SNE.  </w:t>
        <w:br/>
        <w:t xml:space="preserve">29. Then, each social landlord is subject to an obligation to house priority households defined by law (households recognized under the right to housing and the most vulnerable households or those facing particular difficulties in accessing housing). The law provides that the housing allocated in favor of these priority households must represent at least 25% of allocations for each landlord.  </w:t>
        <w:br/>
        <w:t xml:space="preserve">30. Finally, the allocation of a housing unit is subject to a decision by the housing allocation commission and examination of the occupancy of the housing of each landlord, which includes representatives of the State, the municipality, and tenants. This is the decision-making body regarding the allocation of housing for social use.  </w:t>
        <w:br/>
        <w:t xml:space="preserve">31. Consequently, the allocation of social housing by landlords is governed by a body of rules whose compliance is guaranteed by public authorities' oversight, which prohibits landlords from selecting tenants in a discriminatory manner, regardless of the competitive position of the social landlord in the market concerned. It should therefore be considered that the concentration resulting from the operation in the market for the ownership and management for own account of housing for social use in the territory of the CAMVS is not likely to produce effects on the new entity's choice of its tenants.  </w:t>
        <w:br/>
        <w:t xml:space="preserve">32. Regarding, in the second place, rents, these are set by rent control agreements (hereinafter "APL agreements") which are concluded between the State and social landlords, on a case-by-case basis. They are governed by Article L. 351-2 of the Construction and Housing Code. These agreements set, in particular, the ceiling rents revised each year on January 1 based on the Rent Reference Index of the second quarter of the previous year. The maximum values of the ceiling rents are set each year. They are broken down by territory based on the pressure in these territories and by social housing type. The ceiling rents of the APL agreements are subject to modulation based on, in particular, the average size of the housing units, the quality of service, and energy performance. The APL agreements thus constitute a framework that strictly determines the ceiling rent levels of the housing concerned.  </w:t>
        <w:br/>
        <w:t>33. Rents cannot therefore exceed the amounts set by this legal and regulatory framework. On the other hand, they may be below these amounts. The ministry responsible for housing</w:t>
      </w:r>
    </w:p>
    <w:p>
      <w:r>
        <w:rPr>
          <w:b/>
        </w:rPr>
        <w:t>[Pages 7–9]</w:t>
      </w:r>
    </w:p>
    <w:p>
      <w:r>
        <w:t xml:space="preserve">a indicated that it is quite regularly observed that social landlords set their rents below the ceilings.  </w:t>
        <w:br/>
        <w:t xml:space="preserve">34. Finally, regarding the quality of the social housing service provided by the landlord, the social utility agreements (hereinafter "CUS") concluded between the State and the landlords provide for quality indicators that focus on production, renovation, management efficiency, and housing allocations, in order to meet housing objectives for the most disadvantaged and social diversity. Furthermore, the mandatory chapter of the CUS includes elements related to the quality of rental management and service to tenants. These commitments particularly concern the process of handling tenant complaints, the existence and frequency of a tenant satisfaction survey, as well as the certification or labeling systems regarding service quality obtained by the organization. They also incorporate data on the number of housing units accessible to persons with reduced mobility in the relevant stock or on the number of rehabilitated housing units renovated to meet the required energy performance standards.  </w:t>
        <w:br/>
        <w:t xml:space="preserve">35. Compliance with the entire constrained framework just described, regarding rents and the quality of the social housing service, is ensured by public authorities, particularly the State, which ensures that social landlords comply with the regulatory and legislative provisions applicable to them, both in terms of asset management and for housing allocations and rental management. When discrepancies are observed, after a contradictory procedure and upon proposal from the board of directors, administrative sanctions may be proposed by the National Agency for the Control of Social Housing to the Minister responsible for housing.  </w:t>
        <w:br/>
        <w:t xml:space="preserve">36. These various elements are therefore likely to compel the parties, once the operation is completed, to maintain a certain standard of quality in the offer provided to tenants. However, both regarding the level of rents and the quality of services offered to tenants, the applicable regulatory framework sets a reference standard. It is therefore permissible for operators to set rents for housing at a level below the ceiling or to offer enhanced services compared to the quality standard resulting from the CUS, particularly under the influence of pressure exerted by competing operators.  </w:t>
        <w:br/>
        <w:t xml:space="preserve">37. Given this situation, the Authority believes that the regulatory framework applicable to the social housing sector is not, on its own, sufficient to eliminate any risk of anti-competitive effects related to the operation.  </w:t>
        <w:br/>
        <w:t xml:space="preserve">The effects of limited competitive dynamics due to reduced consumer arbitrage capabilities in tight areas  </w:t>
        <w:br/>
        <w:t xml:space="preserve">38. Given the specificity of the mechanism for allocating social housing, the Competition Authority also questioned the ability of prospective tenants to arbitrate between the offers of social landlords. Indeed, in the absence of such an arbitrage capability, the market structure would have no impact on the incentive for social landlords to improve their offer in terms of quality and, to some extent, price, and the operation would therefore have no effect on the relevant market.  </w:t>
        <w:br/>
        <w:t xml:space="preserve">39. However, as previously explained, applicants for social housing submit their housing requests on the SNE, which brings together, within a single file, all applicants for social housing.  </w:t>
        <w:br/>
        <w:t xml:space="preserve">40. The Ministry responsible for housing described the functioning of the SNE as follows: "Each request is followed by events that are recorded electronically by shared management and accessible to all landlords. [In principle], if a landlord has offered a housing unit, this will be recorded as an event in the system, and another landlord will not practically offer another housing unit at the same time." However, it emerges from the information gathered during the market test with the competitors of the parties that a candidate for social housing may find themselves in an arbitrage situation "in the event that several landlords offer housing to the same candidate from the SNE file."  </w:t>
        <w:br/>
        <w:t xml:space="preserve">41. According to the information collected during the market test organized with competitors, such a scenario is unlikely in particularly "tight" areas, characterized by a significant imbalance between the volume of available supply and demand. Conversely, such an arbitrage situation cannot be ruled out in "non-tight" areas, especially since the refusal of housing following an offer from a social landlord does not necessarily have consequences for future housing allocations.  </w:t>
        <w:br/>
        <w:t xml:space="preserve">42. In order to assess the effects of the operation on the market for the ownership and management for own account of housing for social use in the territory of the CAMVS, the Competition Authority therefore based its analysis in particular on the socio-economic characteristics of the latter.  </w:t>
        <w:br/>
        <w:t xml:space="preserve">Application in this case  </w:t>
        <w:br/>
        <w:t xml:space="preserve">43. In this case, it emerges from the various elements gathered during the investigation that the EPCI CAMVS constitutes a "non-tight" area characterized by a supply significantly exceeding demand.  </w:t>
        <w:br/>
        <w:t xml:space="preserve">44. Indeed, according to a public report related to the housing program of the CAMVS, "households excluded from the private market can claim a relatively abundant social offer. Indeed, social housing represents 27% of the stock in the territory, and it is located in urban and peri-urban municipalities where households are more modest. The social rental stock in the territory of the CAMVS is more accessible than the social stock in other territories. 60% of requests satisfied locally date back less than 6 months, while this rate is 42% at the departmental level. Furthermore, 13.3% of the existing local stock "turns over" each year, compared to 10.6% at the level of Nord, allowing for smoother functioning and facilitating residential pathways."  </w:t>
        <w:br/>
        <w:t xml:space="preserve">45. It is therefore against this backdrop that the effects of the operation on this territory should be assessed.  </w:t>
        <w:br/>
        <w:t xml:space="preserve">46. Following the operation, in the EPCI of the CAMVS, the new entity will hold a market share of 77%, an increase of 11 points compared to the previous situation. It will only face competition from one significant operator (Partenord). Furthermore, it appears that the new entity will hold substantial market shares in the two neighboring EPCIs. In these areas, two other competitors are also significantly present (Partenord and SIGH).  </w:t>
        <w:br/>
        <w:t xml:space="preserve">47. When asked about the competitive pressure exerted by the social rental stock of EPCIs close to that of Maubeuge on the one hand, and the private housing stock of Maubeuge on the other, the notifying parties indicated that tenants are not very mobile between the EPCIs and that, given the price differences between the social rental stock and the private rental stock, they considered that the private stock is not very substitutable for the social stock.  </w:t>
        <w:br/>
        <w:t xml:space="preserve">48. However, it emerges from the elements of the file that the private rental stock does indeed exert competitive pressure on the social rental stock in the territory of the CAMVS.  </w:t>
        <w:br/>
        <w:t xml:space="preserve">49. According to the aforementioned report, "the local real estate market is little influenced by the demand from investors or households from elsewhere. Thus, sellers must position their properties at price levels accessible to local households. In this way, and in the absence of real tension, real estate prices are rather adapted to the financial capacities of local households." This same report indicates that "in Maubeuge, as in other urban municipalities, the territory of the CAMVS has private and social housing sectors accommodating very low-income households." It therefore appears that a certain competitive pressure does exist between the private stock and the social stock within the CAMVS.  </w:t>
        <w:br/>
        <w:t xml:space="preserve">50. This analysis is confirmed by the response of a competitor to the market test, who stated that "social housing must be cheaper than private housing; otherwise, potential clients will turn to the private sector."  </w:t>
        <w:br/>
        <w:t xml:space="preserve">51. The majority of respondents to the market test indicated that they set prices below the ceiling in the relevant territories. When asked about the determinants of this pricing policy, respondents recalled that the area in question constituted a "non-tight" area, which influenced their positioning in terms of rent levels. One of the competitors interviewed explained that they set prices below the minimum price set by law "particularly in relaxed areas when the ceiling price of the housing financing category is close to the value of the private rental market."  </w:t>
        <w:br/>
        <w:t xml:space="preserve">52. Another respondent stated: "The reasons are those that drive any landlord to seek a balance between rental profitability and occupancy rate:  </w:t>
        <w:br/>
        <w:t xml:space="preserve">− For reasons of commercial attractiveness, the landlord may consider that the location of the housing or the type of housing or the income of households in the municipality does not allow for the application of ceiling rents.  </w:t>
        <w:br/>
        <w:t xml:space="preserve">− For technical reasons, the landlord may consider that the condition of the property as well as the services provided do not justify the application of the maximum rent.  </w:t>
        <w:br/>
        <w:t xml:space="preserve">− For reasons of competition in relaxed areas, where the supply of housing (social or private) exceeds demand."  </w:t>
        <w:br/>
        <w:t xml:space="preserve">53. In other words, "the price charged is linked to the financial balance of the operation," and operators react "to adapt to a particularly relaxed local market." More specifically, according to some respondents to the market test, the price of the private rental market "does not allow for the application of the maximum rent."  </w:t>
        <w:br/>
        <w:t>54. It emerges from these various elements that, although following the operation, the new entity will be little disciplined by the behavior of social housing actors, it will be constrained by the private rental stock, both in terms of rent prices and the quality of housing. Indeed, beyond the level of rents proposed, the competitive pressure exerted by the private stock on the social stock is also reflected in terms of the quality of the offer – described as an "element of commercial attractiveness" by several respondents – by the necessity to maintain or even improve the offer within the framework of social housing rehabilitation projects. Thus, faced with the competitive pressure exerted by a private rental stock...</w:t>
      </w:r>
    </w:p>
    <w:p>
      <w:r>
        <w:rPr>
          <w:b/>
        </w:rPr>
        <w:t>[Pages 10–11]</w:t>
      </w:r>
    </w:p>
    <w:p>
      <w:r>
        <w:t xml:space="preserve">the offer – described as an element of "commercial attractiveness" by several respondents – by the necessity to maintain, or even improve, the offer within the framework of social housing rehabilitation projects. Thus, in the face of competitive pressure exerted by a relatively accessible private rental stock in the Maubeuge area, social landlords, and more particularly the new entity, have a greater interest in renting their properties while maintaining acceptable levels of price and quality rather than leaving them vacant, thereby losing the associated income and risking, in the long term, the deterioration of these assets. This is confirmed by the respondents to the aforementioned market test.  </w:t>
        <w:br/>
        <w:t xml:space="preserve">55. Given all these elements, the Competition Authority considers that any risk of harm to competition through horizontal effects in the market for the ownership and management for own account of housing for social use in the territory of the CAMVS can be ruled out in this case.  </w:t>
        <w:br/>
        <w:t>10</w:t>
      </w:r>
    </w:p>
    <w:p>
      <w:r>
        <w:t xml:space="preserve">DECIDES  </w:t>
        <w:br/>
        <w:t xml:space="preserve">Sole Article: The operation notified under number 19-268 is authorized.  </w:t>
        <w:br/>
        <w:t xml:space="preserve">The Chairwoman,  </w:t>
        <w:br/>
        <w:t xml:space="preserve">Isabelle de Silva  </w:t>
        <w:br/>
        <w:t xml:space="preserve">© Competition Authority  </w:t>
        <w:br/>
        <w:t>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